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宋体" w:eastAsia="方正小标宋简体"/>
          <w:b/>
          <w:bCs/>
          <w:color w:val="auto"/>
          <w:sz w:val="44"/>
          <w:szCs w:val="44"/>
        </w:rPr>
      </w:pPr>
      <w:r>
        <w:rPr>
          <w:rFonts w:hint="eastAsia" w:ascii="方正小标宋简体" w:hAnsi="宋体" w:eastAsia="方正小标宋简体"/>
          <w:b/>
          <w:bCs/>
          <w:color w:val="auto"/>
          <w:sz w:val="44"/>
          <w:szCs w:val="44"/>
        </w:rPr>
        <w:t>电子信息工程学院</w:t>
      </w:r>
    </w:p>
    <w:p>
      <w:pPr>
        <w:spacing w:line="580" w:lineRule="exact"/>
        <w:jc w:val="center"/>
        <w:rPr>
          <w:rFonts w:hint="eastAsia" w:ascii="方正小标宋简体" w:hAnsi="宋体" w:eastAsia="方正小标宋简体"/>
          <w:b/>
          <w:bCs/>
          <w:color w:val="auto"/>
          <w:sz w:val="44"/>
          <w:szCs w:val="44"/>
        </w:rPr>
      </w:pPr>
      <w:r>
        <w:rPr>
          <w:rFonts w:hint="eastAsia" w:ascii="方正小标宋简体" w:hAnsi="宋体" w:eastAsia="方正小标宋简体"/>
          <w:b/>
          <w:bCs/>
          <w:color w:val="auto"/>
          <w:sz w:val="44"/>
          <w:szCs w:val="44"/>
        </w:rPr>
        <w:t>研究生国家奖学金评审细则</w:t>
      </w:r>
    </w:p>
    <w:p>
      <w:pPr>
        <w:spacing w:line="58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根据党委学生工作部通知要求，结合我院实际，研究生国家奖学金评审细则公如下：</w:t>
      </w:r>
    </w:p>
    <w:p>
      <w:pPr>
        <w:spacing w:line="58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一、组织领导</w:t>
      </w:r>
    </w:p>
    <w:p>
      <w:pPr>
        <w:spacing w:line="58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成立学院研究生奖学金评审委员会，负责研究制定本学院评审实施细则和初步评审工作。</w:t>
      </w:r>
    </w:p>
    <w:p>
      <w:pPr>
        <w:spacing w:line="58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二、评审细则</w:t>
      </w:r>
    </w:p>
    <w:p>
      <w:pPr>
        <w:spacing w:line="580" w:lineRule="exact"/>
        <w:ind w:firstLine="640" w:firstLineChars="200"/>
        <w:rPr>
          <w:rFonts w:hint="eastAsia" w:ascii="楷体_GB2312" w:hAnsi="仿宋" w:eastAsia="楷体_GB2312"/>
          <w:color w:val="auto"/>
          <w:sz w:val="32"/>
          <w:szCs w:val="32"/>
        </w:rPr>
      </w:pPr>
      <w:r>
        <w:rPr>
          <w:rFonts w:hint="eastAsia" w:ascii="楷体_GB2312" w:hAnsi="仿宋" w:eastAsia="楷体_GB2312"/>
          <w:color w:val="auto"/>
          <w:sz w:val="32"/>
          <w:szCs w:val="32"/>
        </w:rPr>
        <w:t>（一）名额分配</w:t>
      </w:r>
    </w:p>
    <w:p>
      <w:pPr>
        <w:spacing w:line="58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1、全日制博士、全日制硕士两种类型各自按照学校分配名额分别评定。</w:t>
      </w:r>
    </w:p>
    <w:p>
      <w:pPr>
        <w:spacing w:line="58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2、硕士同一类型各专业排名第一（根据研究生国家奖学金评审量化表计算得出的总成绩在本专业内进行排名）且有SCI 检索论文（本人第一作者或导师第一作者学生第二作者）的学生直接入选，剩余名额按照全院排名评定。</w:t>
      </w:r>
    </w:p>
    <w:p>
      <w:pPr>
        <w:spacing w:line="580" w:lineRule="exact"/>
        <w:ind w:firstLine="640" w:firstLineChars="200"/>
        <w:rPr>
          <w:rFonts w:hint="eastAsia" w:ascii="楷体_GB2312" w:hAnsi="仿宋" w:eastAsia="楷体_GB2312"/>
          <w:color w:val="auto"/>
          <w:sz w:val="32"/>
          <w:szCs w:val="32"/>
        </w:rPr>
      </w:pPr>
      <w:r>
        <w:rPr>
          <w:rFonts w:hint="eastAsia" w:ascii="楷体_GB2312" w:hAnsi="仿宋" w:eastAsia="楷体_GB2312"/>
          <w:color w:val="auto"/>
          <w:sz w:val="32"/>
          <w:szCs w:val="32"/>
        </w:rPr>
        <w:t>（二）评定办法</w:t>
      </w:r>
    </w:p>
    <w:p>
      <w:pPr>
        <w:spacing w:line="58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根据学生在校完成培养方案要求环节的整体表现，在满足基本条件的学生中，按照课程学习成绩（30%）、科研素质与创新能力（70%）两个方面评定，按得分次序确定推荐人名单。</w:t>
      </w:r>
    </w:p>
    <w:p>
      <w:pPr>
        <w:spacing w:line="580" w:lineRule="exact"/>
        <w:ind w:firstLine="643" w:firstLineChars="200"/>
        <w:rPr>
          <w:rFonts w:hint="eastAsia" w:ascii="仿宋_GB2312" w:hAnsi="仿宋" w:eastAsia="仿宋_GB2312"/>
          <w:b/>
          <w:bCs/>
          <w:color w:val="auto"/>
          <w:sz w:val="32"/>
          <w:szCs w:val="32"/>
        </w:rPr>
      </w:pPr>
      <w:r>
        <w:rPr>
          <w:rFonts w:hint="eastAsia" w:ascii="仿宋_GB2312" w:hAnsi="仿宋" w:eastAsia="仿宋_GB2312"/>
          <w:b/>
          <w:bCs/>
          <w:color w:val="auto"/>
          <w:sz w:val="32"/>
          <w:szCs w:val="32"/>
        </w:rPr>
        <w:t>1.课程学习成绩</w:t>
      </w:r>
    </w:p>
    <w:p>
      <w:pPr>
        <w:spacing w:line="58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课程学习成绩以教务系统导出为准，成绩一经导出不接受任何形式与方式的修改。</w:t>
      </w:r>
    </w:p>
    <w:p>
      <w:pPr>
        <w:spacing w:line="580" w:lineRule="exact"/>
        <w:ind w:firstLine="643" w:firstLineChars="200"/>
        <w:rPr>
          <w:rFonts w:hint="eastAsia" w:ascii="仿宋_GB2312" w:hAnsi="仿宋" w:eastAsia="仿宋_GB2312"/>
          <w:b/>
          <w:bCs/>
          <w:color w:val="auto"/>
          <w:sz w:val="32"/>
          <w:szCs w:val="32"/>
        </w:rPr>
      </w:pPr>
      <w:r>
        <w:rPr>
          <w:rFonts w:hint="eastAsia" w:ascii="仿宋_GB2312" w:hAnsi="仿宋" w:eastAsia="仿宋_GB2312"/>
          <w:b/>
          <w:bCs/>
          <w:color w:val="auto"/>
          <w:sz w:val="32"/>
          <w:szCs w:val="32"/>
        </w:rPr>
        <w:t>2.创新意识与科研能力</w:t>
      </w:r>
    </w:p>
    <w:p>
      <w:pPr>
        <w:spacing w:line="58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rPr>
        <w:t>创新意识与科研能力分为以下项目评价：论文，专利，科技奖励，科技竞赛获奖。参与统计的科学研究成果均应为研究生在读期间所取得的成果，所有成果只能参评一次，已使用过的成果不能重复使用。</w:t>
      </w:r>
    </w:p>
    <w:p>
      <w:pPr>
        <w:pStyle w:val="39"/>
        <w:spacing w:line="580" w:lineRule="exact"/>
        <w:ind w:firstLineChars="0"/>
        <w:rPr>
          <w:rFonts w:hint="eastAsia" w:ascii="仿宋_GB2312" w:hAnsi="宋体" w:eastAsia="仿宋_GB2312"/>
          <w:color w:val="auto"/>
          <w:sz w:val="32"/>
          <w:szCs w:val="32"/>
        </w:rPr>
      </w:pPr>
      <w:r>
        <w:rPr>
          <w:rFonts w:hint="eastAsia" w:ascii="仿宋_GB2312" w:hAnsi="仿宋_GB2312" w:eastAsia="仿宋_GB2312" w:cs="仿宋_GB2312"/>
          <w:color w:val="auto"/>
          <w:sz w:val="32"/>
          <w:szCs w:val="32"/>
        </w:rPr>
        <w:t>（1）论文记分原则</w:t>
      </w:r>
      <w:r>
        <w:rPr>
          <w:rStyle w:val="38"/>
          <w:rFonts w:hint="eastAsia" w:ascii="仿宋_GB2312" w:hAnsi="宋体" w:eastAsia="仿宋_GB2312"/>
          <w:bCs/>
          <w:color w:val="auto"/>
          <w:sz w:val="32"/>
          <w:szCs w:val="32"/>
        </w:rPr>
        <w:t>（限期刊论文5篇；限第一作者或导师作为第一作者的第二作者）：</w:t>
      </w:r>
    </w:p>
    <w:p>
      <w:pPr>
        <w:spacing w:line="580" w:lineRule="exact"/>
        <w:ind w:firstLine="640" w:firstLineChars="200"/>
        <w:rPr>
          <w:rStyle w:val="38"/>
          <w:rFonts w:hint="eastAsia" w:ascii="仿宋_GB2312" w:hAnsi="宋体" w:eastAsia="仿宋_GB2312"/>
          <w:color w:val="auto"/>
          <w:sz w:val="32"/>
          <w:szCs w:val="32"/>
        </w:rPr>
      </w:pPr>
      <w:bookmarkStart w:id="0" w:name="OLE_LINK3"/>
      <w:r>
        <w:rPr>
          <w:rFonts w:hint="eastAsia" w:ascii="仿宋_GB2312" w:hAnsi="仿宋_GB2312" w:eastAsia="仿宋_GB2312" w:cs="仿宋_GB2312"/>
          <w:color w:val="auto"/>
          <w:sz w:val="32"/>
          <w:szCs w:val="32"/>
        </w:rPr>
        <w:t>A.</w:t>
      </w:r>
      <w:bookmarkEnd w:id="0"/>
      <w:r>
        <w:rPr>
          <w:rStyle w:val="38"/>
          <w:rFonts w:hint="eastAsia" w:ascii="仿宋_GB2312" w:hAnsi="宋体" w:eastAsia="仿宋_GB2312"/>
          <w:bCs/>
          <w:color w:val="auto"/>
          <w:sz w:val="32"/>
          <w:szCs w:val="32"/>
        </w:rPr>
        <w:t>论文</w:t>
      </w:r>
      <w:r>
        <w:rPr>
          <w:rStyle w:val="38"/>
          <w:rFonts w:hint="eastAsia" w:ascii="仿宋_GB2312" w:hAnsi="宋体" w:eastAsia="仿宋_GB2312"/>
          <w:color w:val="auto"/>
          <w:sz w:val="32"/>
          <w:szCs w:val="32"/>
        </w:rPr>
        <w:t>SCI论文：一区（24分）二区（20分）三区（16分）四区（12分）;</w:t>
      </w:r>
    </w:p>
    <w:p>
      <w:pPr>
        <w:pStyle w:val="39"/>
        <w:spacing w:line="580" w:lineRule="exact"/>
        <w:ind w:firstLine="640"/>
        <w:jc w:val="left"/>
        <w:rPr>
          <w:rFonts w:hint="eastAsia" w:ascii="仿宋_GB2312" w:hAnsi="宋体" w:eastAsia="仿宋_GB2312"/>
          <w:color w:val="auto"/>
          <w:sz w:val="32"/>
          <w:szCs w:val="32"/>
        </w:rPr>
      </w:pPr>
      <w:r>
        <w:rPr>
          <w:rFonts w:hint="eastAsia" w:ascii="仿宋_GB2312" w:hAnsi="仿宋_GB2312" w:eastAsia="仿宋_GB2312" w:cs="仿宋_GB2312"/>
          <w:color w:val="auto"/>
          <w:sz w:val="32"/>
          <w:szCs w:val="32"/>
        </w:rPr>
        <w:t>B.</w:t>
      </w:r>
      <w:r>
        <w:rPr>
          <w:rStyle w:val="38"/>
          <w:rFonts w:hint="eastAsia" w:ascii="仿宋_GB2312" w:hAnsi="宋体" w:eastAsia="仿宋_GB2312"/>
          <w:color w:val="auto"/>
          <w:sz w:val="32"/>
          <w:szCs w:val="32"/>
        </w:rPr>
        <w:t>EI检索类型为期刊（JA）的论文（4分）;</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C.CSCD收录期刊2分（限3篇）;</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D.已被SCI检索的会议论文2分，已被EI检索的会议论文 1分，（会议论文限1篇）。</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说明：</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1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①</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上述为第一作者加分标准，如果是第二作者（导师为第一作者），则分数按第一作者分数*0.8计算，第三作者及以后不记分。</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2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同一篇文章同时被多个机构检索，按最高等级的评分计算。</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3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③</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A、B、C情况论文录用、见刊得分权重系数为：0.8，1.0。</w:t>
      </w:r>
    </w:p>
    <w:p>
      <w:pPr>
        <w:spacing w:line="58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4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④</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在符合基本参评条件下，若论文署名为共同第一作者，则署名第一单位必须为河北工业大学，</w:t>
      </w:r>
      <w:r>
        <w:rPr>
          <w:rFonts w:hint="eastAsia" w:ascii="仿宋_GB2312" w:hAnsi="仿宋_GB2312" w:eastAsia="仿宋_GB2312" w:cs="仿宋_GB2312"/>
          <w:b/>
          <w:bCs/>
          <w:color w:val="auto"/>
          <w:sz w:val="32"/>
          <w:szCs w:val="32"/>
        </w:rPr>
        <w:t>共同第一作者的成果用于申请奖学金时，需要由共同第一作者签署同意申报的意见（提交评审材料时需附共同第一作者签署参评意见书）。</w:t>
      </w:r>
      <w:r>
        <w:rPr>
          <w:rFonts w:hint="eastAsia" w:ascii="仿宋_GB2312" w:hAnsi="仿宋_GB2312" w:eastAsia="仿宋_GB2312" w:cs="仿宋_GB2312"/>
          <w:color w:val="auto"/>
          <w:sz w:val="32"/>
          <w:szCs w:val="32"/>
        </w:rPr>
        <w:t>该篇论文分数按第一作者总数进行均分（参评奖学金的第一作者得分=论文分数/第一作者总数），</w:t>
      </w:r>
      <w:r>
        <w:rPr>
          <w:rFonts w:hint="eastAsia" w:ascii="仿宋_GB2312" w:hAnsi="仿宋_GB2312" w:eastAsia="仿宋_GB2312" w:cs="仿宋_GB2312"/>
          <w:b/>
          <w:bCs/>
          <w:color w:val="auto"/>
          <w:sz w:val="32"/>
          <w:szCs w:val="32"/>
        </w:rPr>
        <w:t>共同第一作者的论文只能使用一次，若其中一位第一作者使用该篇论文参评并获得学业奖学金和国家奖学金，则其他第一作者不得再使用此论文参评</w:t>
      </w:r>
      <w:bookmarkStart w:id="1" w:name="OLE_LINK5"/>
      <w:r>
        <w:rPr>
          <w:rFonts w:hint="eastAsia" w:ascii="仿宋_GB2312" w:hAnsi="仿宋_GB2312" w:eastAsia="仿宋_GB2312" w:cs="仿宋_GB2312"/>
          <w:b/>
          <w:bCs/>
          <w:color w:val="auto"/>
          <w:sz w:val="32"/>
          <w:szCs w:val="32"/>
        </w:rPr>
        <w:t>学业奖学金和国家奖学金</w:t>
      </w:r>
      <w:bookmarkEnd w:id="1"/>
      <w:r>
        <w:rPr>
          <w:rFonts w:hint="eastAsia" w:ascii="仿宋_GB2312" w:hAnsi="仿宋_GB2312" w:eastAsia="仿宋_GB2312" w:cs="仿宋_GB2312"/>
          <w:b/>
          <w:bCs/>
          <w:color w:val="auto"/>
          <w:sz w:val="32"/>
          <w:szCs w:val="32"/>
        </w:rPr>
        <w:t>。</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（2）科技奖励</w:t>
      </w:r>
    </w:p>
    <w:tbl>
      <w:tblPr>
        <w:tblStyle w:val="15"/>
        <w:tblpPr w:leftFromText="180" w:rightFromText="180" w:vertAnchor="text" w:horzAnchor="margin" w:tblpXSpec="center" w:tblpY="214"/>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98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exact"/>
        </w:trPr>
        <w:tc>
          <w:tcPr>
            <w:tcW w:w="2689" w:type="dxa"/>
            <w:tcBorders>
              <w:tl2br w:val="single" w:color="auto" w:sz="4" w:space="0"/>
            </w:tcBorders>
            <w:shd w:val="clear" w:color="auto" w:fill="auto"/>
          </w:tcPr>
          <w:p>
            <w:pPr>
              <w:spacing w:line="580" w:lineRule="exact"/>
              <w:rPr>
                <w:rFonts w:hint="eastAsia" w:ascii="仿宋_GB2312" w:hAnsi="等线" w:eastAsia="仿宋_GB2312"/>
                <w:color w:val="auto"/>
                <w:sz w:val="28"/>
                <w:szCs w:val="28"/>
              </w:rPr>
            </w:pPr>
            <w:r>
              <w:rPr>
                <w:rFonts w:hint="eastAsia" w:ascii="仿宋_GB2312" w:hAnsi="等线" w:eastAsia="仿宋_GB2312"/>
                <w:color w:val="auto"/>
                <w:sz w:val="28"/>
                <w:szCs w:val="28"/>
              </w:rPr>
              <w:t xml:space="preserve">         </w:t>
            </w:r>
            <w:bookmarkStart w:id="2" w:name="_Hlk188023168"/>
            <w:r>
              <w:rPr>
                <w:rFonts w:hint="eastAsia" w:ascii="仿宋_GB2312" w:hAnsi="等线" w:eastAsia="仿宋_GB2312"/>
                <w:color w:val="auto"/>
                <w:sz w:val="28"/>
                <w:szCs w:val="28"/>
              </w:rPr>
              <w:t>获奖等级</w:t>
            </w:r>
          </w:p>
          <w:p>
            <w:pPr>
              <w:spacing w:line="580" w:lineRule="exact"/>
              <w:rPr>
                <w:rFonts w:hint="eastAsia" w:ascii="仿宋_GB2312" w:hAnsi="等线" w:eastAsia="仿宋_GB2312"/>
                <w:color w:val="auto"/>
                <w:sz w:val="28"/>
                <w:szCs w:val="28"/>
              </w:rPr>
            </w:pPr>
          </w:p>
          <w:p>
            <w:pPr>
              <w:spacing w:line="580" w:lineRule="exact"/>
              <w:rPr>
                <w:rFonts w:hint="eastAsia" w:ascii="仿宋_GB2312" w:hAnsi="等线" w:eastAsia="仿宋_GB2312"/>
                <w:color w:val="auto"/>
                <w:sz w:val="28"/>
                <w:szCs w:val="28"/>
              </w:rPr>
            </w:pPr>
            <w:r>
              <w:rPr>
                <w:rFonts w:hint="eastAsia" w:ascii="仿宋_GB2312" w:hAnsi="等线" w:eastAsia="仿宋_GB2312"/>
                <w:color w:val="auto"/>
                <w:sz w:val="28"/>
                <w:szCs w:val="28"/>
              </w:rPr>
              <w:t>科技奖励级别</w:t>
            </w:r>
          </w:p>
        </w:tc>
        <w:tc>
          <w:tcPr>
            <w:tcW w:w="1984" w:type="dxa"/>
            <w:shd w:val="clear" w:color="auto" w:fill="auto"/>
            <w:vAlign w:val="center"/>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一等奖</w:t>
            </w:r>
          </w:p>
        </w:tc>
        <w:tc>
          <w:tcPr>
            <w:tcW w:w="2126" w:type="dxa"/>
            <w:shd w:val="clear" w:color="auto" w:fill="auto"/>
            <w:vAlign w:val="center"/>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二等奖</w:t>
            </w:r>
          </w:p>
        </w:tc>
        <w:tc>
          <w:tcPr>
            <w:tcW w:w="1843" w:type="dxa"/>
            <w:tcBorders>
              <w:bottom w:val="single" w:color="auto" w:sz="4" w:space="0"/>
            </w:tcBorders>
            <w:shd w:val="clear" w:color="auto" w:fill="auto"/>
            <w:vAlign w:val="center"/>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9"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国家级</w:t>
            </w:r>
            <w:bookmarkStart w:id="3" w:name="OLE_LINK6"/>
            <w:r>
              <w:rPr>
                <w:rFonts w:hint="eastAsia" w:ascii="仿宋_GB2312" w:hAnsi="等线" w:eastAsia="仿宋_GB2312"/>
                <w:color w:val="auto"/>
                <w:sz w:val="28"/>
                <w:szCs w:val="28"/>
              </w:rPr>
              <w:t>科技奖励</w:t>
            </w:r>
            <w:bookmarkEnd w:id="3"/>
          </w:p>
        </w:tc>
        <w:tc>
          <w:tcPr>
            <w:tcW w:w="1984"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150</w:t>
            </w:r>
          </w:p>
        </w:tc>
        <w:tc>
          <w:tcPr>
            <w:tcW w:w="2126"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75</w:t>
            </w:r>
          </w:p>
        </w:tc>
        <w:tc>
          <w:tcPr>
            <w:tcW w:w="1843" w:type="dxa"/>
            <w:tcBorders>
              <w:tr2bl w:val="single" w:color="auto" w:sz="4" w:space="0"/>
            </w:tcBorders>
            <w:shd w:val="clear" w:color="auto" w:fill="auto"/>
          </w:tcPr>
          <w:p>
            <w:pPr>
              <w:spacing w:line="580" w:lineRule="exact"/>
              <w:jc w:val="center"/>
              <w:rPr>
                <w:rFonts w:hint="eastAsia" w:ascii="仿宋_GB2312" w:hAnsi="等线"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689"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省部级科技奖励</w:t>
            </w:r>
          </w:p>
        </w:tc>
        <w:tc>
          <w:tcPr>
            <w:tcW w:w="1984"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45</w:t>
            </w:r>
          </w:p>
        </w:tc>
        <w:tc>
          <w:tcPr>
            <w:tcW w:w="2126"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30</w:t>
            </w:r>
          </w:p>
        </w:tc>
        <w:tc>
          <w:tcPr>
            <w:tcW w:w="1843"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689"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厅局级科技奖励</w:t>
            </w:r>
          </w:p>
        </w:tc>
        <w:tc>
          <w:tcPr>
            <w:tcW w:w="1984"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12</w:t>
            </w:r>
          </w:p>
        </w:tc>
        <w:tc>
          <w:tcPr>
            <w:tcW w:w="2126"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9</w:t>
            </w:r>
          </w:p>
        </w:tc>
        <w:tc>
          <w:tcPr>
            <w:tcW w:w="1843" w:type="dxa"/>
            <w:shd w:val="clear" w:color="auto" w:fill="auto"/>
          </w:tcPr>
          <w:p>
            <w:pPr>
              <w:spacing w:line="580" w:lineRule="exact"/>
              <w:jc w:val="center"/>
              <w:rPr>
                <w:rFonts w:hint="eastAsia" w:ascii="仿宋_GB2312" w:hAnsi="等线" w:eastAsia="仿宋_GB2312"/>
                <w:color w:val="auto"/>
                <w:sz w:val="28"/>
                <w:szCs w:val="28"/>
              </w:rPr>
            </w:pPr>
            <w:r>
              <w:rPr>
                <w:rFonts w:hint="eastAsia" w:ascii="仿宋_GB2312" w:hAnsi="等线" w:eastAsia="仿宋_GB2312"/>
                <w:color w:val="auto"/>
                <w:sz w:val="28"/>
                <w:szCs w:val="28"/>
              </w:rPr>
              <w:t>6</w:t>
            </w:r>
          </w:p>
        </w:tc>
      </w:tr>
      <w:bookmarkEnd w:id="2"/>
    </w:tbl>
    <w:p>
      <w:pPr>
        <w:spacing w:line="580" w:lineRule="exact"/>
        <w:ind w:firstLine="640" w:firstLineChars="200"/>
        <w:rPr>
          <w:rFonts w:hint="eastAsia" w:ascii="仿宋_GB2312" w:hAnsi="仿宋_GB2312" w:eastAsia="仿宋_GB2312" w:cs="仿宋_GB2312"/>
          <w:color w:val="auto"/>
          <w:sz w:val="32"/>
          <w:szCs w:val="32"/>
        </w:rPr>
      </w:pPr>
      <w:bookmarkStart w:id="4" w:name="_Hlk188023197"/>
      <w:r>
        <w:rPr>
          <w:rFonts w:hint="eastAsia" w:ascii="仿宋_GB2312" w:hAnsi="仿宋_GB2312" w:eastAsia="仿宋_GB2312" w:cs="仿宋_GB2312"/>
          <w:color w:val="auto"/>
          <w:sz w:val="32"/>
          <w:szCs w:val="32"/>
        </w:rPr>
        <w:t>计分方法：得分=获奖等级分数x额定人员位次权重系数</w:t>
      </w:r>
    </w:p>
    <w:bookmarkEnd w:id="4"/>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根据获奖者姓名顺序排名按1.0、0.8、0.7、0.6、0.5、0.4、0.3权重计分。</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（3）专利及其他成果（第三发明人以后不加分），如果是第二、三发明人，导师必须为第一发明人。</w:t>
      </w:r>
    </w:p>
    <w:p>
      <w:pPr>
        <w:widowControl/>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br w:type="page"/>
      </w:r>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76"/>
        <w:gridCol w:w="1701"/>
        <w:gridCol w:w="1870"/>
        <w:gridCol w:w="1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405" w:type="dxa"/>
            <w:vMerge w:val="restart"/>
            <w:vAlign w:val="center"/>
          </w:tcPr>
          <w:p>
            <w:pPr>
              <w:spacing w:line="580" w:lineRule="exact"/>
              <w:jc w:val="center"/>
              <w:rPr>
                <w:rFonts w:hint="eastAsia" w:ascii="仿宋_GB2312" w:hAnsi="宋体" w:eastAsia="仿宋_GB2312" w:cs="宋体"/>
                <w:color w:val="auto"/>
                <w:sz w:val="28"/>
                <w:szCs w:val="28"/>
              </w:rPr>
            </w:pPr>
            <w:bookmarkStart w:id="5" w:name="_Hlk188022140"/>
            <w:r>
              <w:rPr>
                <w:rFonts w:hint="eastAsia" w:ascii="仿宋_GB2312" w:hAnsi="宋体" w:eastAsia="仿宋_GB2312" w:cs="宋体"/>
                <w:color w:val="auto"/>
                <w:sz w:val="28"/>
                <w:szCs w:val="28"/>
              </w:rPr>
              <w:t>项目</w:t>
            </w:r>
          </w:p>
        </w:tc>
        <w:tc>
          <w:tcPr>
            <w:tcW w:w="1276" w:type="dxa"/>
            <w:vMerge w:val="restart"/>
            <w:vAlign w:val="center"/>
          </w:tcPr>
          <w:p>
            <w:pPr>
              <w:spacing w:line="580" w:lineRule="exact"/>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分值/项</w:t>
            </w:r>
          </w:p>
        </w:tc>
        <w:tc>
          <w:tcPr>
            <w:tcW w:w="5245" w:type="dxa"/>
            <w:gridSpan w:val="3"/>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405" w:type="dxa"/>
            <w:vMerge w:val="continue"/>
            <w:vAlign w:val="center"/>
          </w:tcPr>
          <w:p>
            <w:pPr>
              <w:spacing w:line="580" w:lineRule="exact"/>
              <w:ind w:firstLine="560" w:firstLineChars="200"/>
              <w:jc w:val="left"/>
              <w:rPr>
                <w:rFonts w:hint="eastAsia" w:ascii="仿宋_GB2312" w:hAnsi="宋体" w:eastAsia="仿宋_GB2312" w:cs="宋体"/>
                <w:color w:val="auto"/>
                <w:sz w:val="28"/>
                <w:szCs w:val="28"/>
              </w:rPr>
            </w:pPr>
          </w:p>
        </w:tc>
        <w:tc>
          <w:tcPr>
            <w:tcW w:w="1276" w:type="dxa"/>
            <w:vMerge w:val="continue"/>
            <w:vAlign w:val="center"/>
          </w:tcPr>
          <w:p>
            <w:pPr>
              <w:spacing w:line="580" w:lineRule="exact"/>
              <w:ind w:firstLine="560" w:firstLineChars="200"/>
              <w:jc w:val="left"/>
              <w:rPr>
                <w:rFonts w:hint="eastAsia" w:ascii="仿宋_GB2312" w:hAnsi="宋体" w:eastAsia="仿宋_GB2312" w:cs="宋体"/>
                <w:color w:val="auto"/>
                <w:sz w:val="28"/>
                <w:szCs w:val="28"/>
              </w:rPr>
            </w:pPr>
          </w:p>
        </w:tc>
        <w:tc>
          <w:tcPr>
            <w:tcW w:w="1701" w:type="dxa"/>
            <w:vAlign w:val="center"/>
          </w:tcPr>
          <w:p>
            <w:pPr>
              <w:spacing w:line="580" w:lineRule="exact"/>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第一发明人</w:t>
            </w:r>
          </w:p>
        </w:tc>
        <w:tc>
          <w:tcPr>
            <w:tcW w:w="1870" w:type="dxa"/>
            <w:vAlign w:val="center"/>
          </w:tcPr>
          <w:p>
            <w:pPr>
              <w:spacing w:line="580" w:lineRule="exact"/>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第二发明人</w:t>
            </w:r>
          </w:p>
        </w:tc>
        <w:tc>
          <w:tcPr>
            <w:tcW w:w="1674" w:type="dxa"/>
            <w:vAlign w:val="center"/>
          </w:tcPr>
          <w:p>
            <w:pPr>
              <w:spacing w:line="580" w:lineRule="exact"/>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第三发明人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405" w:type="dxa"/>
            <w:vAlign w:val="center"/>
          </w:tcPr>
          <w:p>
            <w:pPr>
              <w:spacing w:line="580" w:lineRule="exact"/>
              <w:jc w:val="center"/>
              <w:rPr>
                <w:rFonts w:hint="eastAsia" w:ascii="仿宋_GB2312" w:hAnsi="宋体" w:eastAsia="仿宋_GB2312" w:cs="宋体"/>
                <w:color w:val="auto"/>
                <w:sz w:val="28"/>
                <w:szCs w:val="28"/>
              </w:rPr>
            </w:pPr>
            <w:bookmarkStart w:id="6" w:name="OLE_LINK7"/>
            <w:r>
              <w:rPr>
                <w:rFonts w:hint="eastAsia" w:ascii="仿宋_GB2312" w:hAnsi="宋体" w:eastAsia="仿宋_GB2312" w:cs="宋体"/>
                <w:color w:val="auto"/>
                <w:sz w:val="28"/>
                <w:szCs w:val="28"/>
              </w:rPr>
              <w:t>获授权</w:t>
            </w:r>
            <w:bookmarkEnd w:id="6"/>
            <w:r>
              <w:rPr>
                <w:rFonts w:hint="eastAsia" w:ascii="仿宋_GB2312" w:hAnsi="宋体" w:eastAsia="仿宋_GB2312" w:cs="宋体"/>
                <w:color w:val="auto"/>
                <w:sz w:val="28"/>
                <w:szCs w:val="28"/>
              </w:rPr>
              <w:t>发明专利</w:t>
            </w:r>
          </w:p>
        </w:tc>
        <w:tc>
          <w:tcPr>
            <w:tcW w:w="1276"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7</w:t>
            </w:r>
          </w:p>
        </w:tc>
        <w:tc>
          <w:tcPr>
            <w:tcW w:w="1701"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w:t>
            </w:r>
          </w:p>
        </w:tc>
        <w:tc>
          <w:tcPr>
            <w:tcW w:w="1870"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0.4</w:t>
            </w:r>
          </w:p>
        </w:tc>
        <w:tc>
          <w:tcPr>
            <w:tcW w:w="1674"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05"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未授予发明专利已获受理号</w:t>
            </w:r>
          </w:p>
        </w:tc>
        <w:tc>
          <w:tcPr>
            <w:tcW w:w="1276"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2</w:t>
            </w:r>
          </w:p>
        </w:tc>
        <w:tc>
          <w:tcPr>
            <w:tcW w:w="1701"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w:t>
            </w:r>
          </w:p>
        </w:tc>
        <w:tc>
          <w:tcPr>
            <w:tcW w:w="1870"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0.4</w:t>
            </w:r>
          </w:p>
        </w:tc>
        <w:tc>
          <w:tcPr>
            <w:tcW w:w="1674"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05"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获授权实用</w:t>
            </w:r>
          </w:p>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新型专利</w:t>
            </w:r>
          </w:p>
        </w:tc>
        <w:tc>
          <w:tcPr>
            <w:tcW w:w="1276"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1.5</w:t>
            </w:r>
          </w:p>
        </w:tc>
        <w:tc>
          <w:tcPr>
            <w:tcW w:w="1701"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w:t>
            </w:r>
          </w:p>
        </w:tc>
        <w:tc>
          <w:tcPr>
            <w:tcW w:w="1870"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0.4</w:t>
            </w:r>
          </w:p>
        </w:tc>
        <w:tc>
          <w:tcPr>
            <w:tcW w:w="1674"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05"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未授予实用新型专利已获受理号</w:t>
            </w:r>
          </w:p>
        </w:tc>
        <w:tc>
          <w:tcPr>
            <w:tcW w:w="1276"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0.5</w:t>
            </w:r>
          </w:p>
        </w:tc>
        <w:tc>
          <w:tcPr>
            <w:tcW w:w="1701"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w:t>
            </w:r>
          </w:p>
        </w:tc>
        <w:tc>
          <w:tcPr>
            <w:tcW w:w="1870"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0.4</w:t>
            </w:r>
          </w:p>
        </w:tc>
        <w:tc>
          <w:tcPr>
            <w:tcW w:w="1674"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2405"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已获软件著作权</w:t>
            </w:r>
          </w:p>
        </w:tc>
        <w:tc>
          <w:tcPr>
            <w:tcW w:w="1276"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w:t>
            </w:r>
          </w:p>
        </w:tc>
        <w:tc>
          <w:tcPr>
            <w:tcW w:w="1701"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w:t>
            </w:r>
          </w:p>
        </w:tc>
        <w:tc>
          <w:tcPr>
            <w:tcW w:w="1870"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0.4</w:t>
            </w:r>
          </w:p>
        </w:tc>
        <w:tc>
          <w:tcPr>
            <w:tcW w:w="1674" w:type="dxa"/>
            <w:vAlign w:val="center"/>
          </w:tcPr>
          <w:p>
            <w:pPr>
              <w:spacing w:line="580" w:lineRule="exact"/>
              <w:ind w:firstLine="560" w:firstLineChars="200"/>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0.1</w:t>
            </w:r>
          </w:p>
        </w:tc>
      </w:tr>
      <w:bookmarkEnd w:id="5"/>
    </w:tbl>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计分方法：得分=获奖等级分数x额定人员位次权重系数</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实用新型专利和软件著作权共限3项。</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（4）科技竞赛获奖</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①参与（河北工大〔2024〕79号-河北工业大学关于印发《河北工业大学大学生竞赛指导目录》的通知）中大学生竞赛指导目录竞赛。校赛不予加分。加分如下：</w:t>
      </w:r>
    </w:p>
    <w:tbl>
      <w:tblPr>
        <w:tblStyle w:val="15"/>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9"/>
        <w:gridCol w:w="1843"/>
        <w:gridCol w:w="1843"/>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3539" w:type="dxa"/>
            <w:tcBorders>
              <w:tl2br w:val="single" w:color="auto" w:sz="4" w:space="0"/>
            </w:tcBorders>
            <w:vAlign w:val="center"/>
          </w:tcPr>
          <w:p>
            <w:pPr>
              <w:spacing w:line="580" w:lineRule="exact"/>
              <w:ind w:firstLine="560" w:firstLineChars="200"/>
              <w:jc w:val="left"/>
              <w:rPr>
                <w:rFonts w:hint="eastAsia" w:ascii="仿宋_GB2312" w:hAnsi="宋体" w:eastAsia="仿宋_GB2312" w:cs="宋体"/>
                <w:color w:val="auto"/>
                <w:sz w:val="28"/>
                <w:szCs w:val="28"/>
              </w:rPr>
            </w:pPr>
            <w:bookmarkStart w:id="7" w:name="_Hlk188022371"/>
            <w:r>
              <w:rPr>
                <w:rFonts w:hint="eastAsia" w:ascii="仿宋_GB2312" w:hAnsi="宋体" w:eastAsia="仿宋_GB2312" w:cs="宋体"/>
                <w:color w:val="auto"/>
                <w:sz w:val="28"/>
                <w:szCs w:val="28"/>
              </w:rPr>
              <w:t xml:space="preserve">          获奖等级</w:t>
            </w:r>
          </w:p>
          <w:p>
            <w:pPr>
              <w:spacing w:line="580" w:lineRule="exact"/>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竞赛级别（赛区）</w:t>
            </w:r>
          </w:p>
        </w:tc>
        <w:tc>
          <w:tcPr>
            <w:tcW w:w="1843"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一等奖</w:t>
            </w:r>
          </w:p>
        </w:tc>
        <w:tc>
          <w:tcPr>
            <w:tcW w:w="1843"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二等奖</w:t>
            </w:r>
          </w:p>
        </w:tc>
        <w:tc>
          <w:tcPr>
            <w:tcW w:w="1582"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9"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A</w:t>
            </w:r>
            <w:r>
              <w:rPr>
                <w:rFonts w:hint="eastAsia" w:ascii="仿宋_GB2312" w:hAnsi="宋体" w:eastAsia="仿宋_GB2312" w:cs="宋体"/>
                <w:color w:val="auto"/>
                <w:sz w:val="28"/>
                <w:szCs w:val="28"/>
                <w:lang w:val="en-US" w:eastAsia="zh-CN"/>
              </w:rPr>
              <w:t>1</w:t>
            </w:r>
            <w:r>
              <w:rPr>
                <w:rFonts w:hint="eastAsia" w:ascii="仿宋_GB2312" w:hAnsi="宋体" w:eastAsia="仿宋_GB2312" w:cs="宋体"/>
                <w:color w:val="auto"/>
                <w:sz w:val="28"/>
                <w:szCs w:val="28"/>
              </w:rPr>
              <w:t>类</w:t>
            </w:r>
            <w:bookmarkStart w:id="8" w:name="OLE_LINK8"/>
            <w:r>
              <w:rPr>
                <w:rFonts w:hint="eastAsia" w:ascii="仿宋_GB2312" w:hAnsi="宋体" w:eastAsia="仿宋_GB2312" w:cs="宋体"/>
                <w:color w:val="auto"/>
                <w:sz w:val="28"/>
                <w:szCs w:val="28"/>
              </w:rPr>
              <w:t>（国家级）</w:t>
            </w:r>
            <w:bookmarkEnd w:id="8"/>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30</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20</w:t>
            </w:r>
          </w:p>
        </w:tc>
        <w:tc>
          <w:tcPr>
            <w:tcW w:w="1582"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9"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A</w:t>
            </w:r>
            <w:r>
              <w:rPr>
                <w:rFonts w:hint="eastAsia" w:ascii="仿宋_GB2312" w:hAnsi="宋体" w:eastAsia="仿宋_GB2312" w:cs="宋体"/>
                <w:color w:val="auto"/>
                <w:sz w:val="28"/>
                <w:szCs w:val="28"/>
                <w:lang w:val="en-US" w:eastAsia="zh-CN"/>
              </w:rPr>
              <w:t>1</w:t>
            </w:r>
            <w:r>
              <w:rPr>
                <w:rFonts w:hint="eastAsia" w:ascii="仿宋_GB2312" w:hAnsi="宋体" w:eastAsia="仿宋_GB2312" w:cs="宋体"/>
                <w:color w:val="auto"/>
                <w:sz w:val="28"/>
                <w:szCs w:val="28"/>
              </w:rPr>
              <w:t>类</w:t>
            </w:r>
            <w:bookmarkStart w:id="9" w:name="OLE_LINK9"/>
            <w:r>
              <w:rPr>
                <w:rFonts w:hint="eastAsia" w:ascii="仿宋_GB2312" w:hAnsi="宋体" w:eastAsia="仿宋_GB2312" w:cs="宋体"/>
                <w:color w:val="auto"/>
                <w:sz w:val="28"/>
                <w:szCs w:val="28"/>
              </w:rPr>
              <w:t>（省级</w:t>
            </w:r>
            <w:bookmarkEnd w:id="9"/>
            <w:r>
              <w:rPr>
                <w:rFonts w:hint="eastAsia" w:ascii="仿宋_GB2312" w:hAnsi="宋体" w:eastAsia="仿宋_GB2312" w:cs="宋体"/>
                <w:color w:val="auto"/>
                <w:sz w:val="28"/>
                <w:szCs w:val="28"/>
              </w:rPr>
              <w:t>）</w:t>
            </w:r>
          </w:p>
        </w:tc>
        <w:tc>
          <w:tcPr>
            <w:tcW w:w="1843" w:type="dxa"/>
            <w:vAlign w:val="center"/>
          </w:tcPr>
          <w:p>
            <w:pPr>
              <w:spacing w:line="580" w:lineRule="exact"/>
              <w:ind w:firstLine="560" w:firstLineChars="200"/>
              <w:rPr>
                <w:rFonts w:hint="default"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10</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lang w:eastAsia="zh-CN"/>
              </w:rPr>
            </w:pPr>
            <w:r>
              <w:rPr>
                <w:rFonts w:hint="eastAsia" w:ascii="仿宋_GB2312" w:hAnsi="宋体" w:eastAsia="仿宋_GB2312" w:cs="宋体"/>
                <w:color w:val="auto"/>
                <w:sz w:val="28"/>
                <w:szCs w:val="28"/>
                <w:lang w:val="en-US" w:eastAsia="zh-CN"/>
              </w:rPr>
              <w:t>8</w:t>
            </w:r>
          </w:p>
        </w:tc>
        <w:tc>
          <w:tcPr>
            <w:tcW w:w="1582" w:type="dxa"/>
            <w:vAlign w:val="center"/>
          </w:tcPr>
          <w:p>
            <w:pPr>
              <w:spacing w:line="580" w:lineRule="exact"/>
              <w:ind w:firstLine="560" w:firstLineChars="200"/>
              <w:rPr>
                <w:rFonts w:hint="default"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9" w:type="dxa"/>
            <w:shd w:val="clear" w:color="auto" w:fill="auto"/>
            <w:vAlign w:val="center"/>
          </w:tcPr>
          <w:p>
            <w:pPr>
              <w:spacing w:line="580" w:lineRule="exact"/>
              <w:ind w:firstLine="560" w:firstLineChars="200"/>
              <w:jc w:val="left"/>
              <w:rPr>
                <w:rFonts w:hint="eastAsia" w:ascii="仿宋_GB2312" w:hAnsi="宋体" w:eastAsia="仿宋_GB2312" w:cs="宋体"/>
                <w:color w:val="auto"/>
                <w:kern w:val="2"/>
                <w:sz w:val="28"/>
                <w:szCs w:val="28"/>
                <w:lang w:val="en-US" w:eastAsia="zh-CN" w:bidi="ar-SA"/>
              </w:rPr>
            </w:pPr>
            <w:r>
              <w:rPr>
                <w:rFonts w:hint="eastAsia" w:ascii="仿宋_GB2312" w:hAnsi="宋体" w:eastAsia="仿宋_GB2312" w:cs="宋体"/>
                <w:color w:val="auto"/>
                <w:sz w:val="28"/>
                <w:szCs w:val="28"/>
              </w:rPr>
              <w:t>A</w:t>
            </w:r>
            <w:r>
              <w:rPr>
                <w:rFonts w:hint="eastAsia" w:ascii="仿宋_GB2312" w:hAnsi="宋体" w:eastAsia="仿宋_GB2312" w:cs="宋体"/>
                <w:color w:val="auto"/>
                <w:sz w:val="28"/>
                <w:szCs w:val="28"/>
                <w:lang w:val="en-US" w:eastAsia="zh-CN"/>
              </w:rPr>
              <w:t>2</w:t>
            </w:r>
            <w:r>
              <w:rPr>
                <w:rFonts w:hint="eastAsia" w:ascii="仿宋_GB2312" w:hAnsi="宋体" w:eastAsia="仿宋_GB2312" w:cs="宋体"/>
                <w:color w:val="auto"/>
                <w:sz w:val="28"/>
                <w:szCs w:val="28"/>
              </w:rPr>
              <w:t>类（国家级）</w:t>
            </w:r>
          </w:p>
        </w:tc>
        <w:tc>
          <w:tcPr>
            <w:tcW w:w="1843" w:type="dxa"/>
            <w:shd w:val="clear" w:color="auto" w:fill="auto"/>
            <w:vAlign w:val="center"/>
          </w:tcPr>
          <w:p>
            <w:pPr>
              <w:spacing w:line="580" w:lineRule="exact"/>
              <w:ind w:firstLine="560" w:firstLineChars="200"/>
              <w:rPr>
                <w:rFonts w:hint="default" w:ascii="仿宋_GB2312" w:hAnsi="宋体" w:eastAsia="仿宋_GB2312" w:cs="宋体"/>
                <w:color w:val="auto"/>
                <w:kern w:val="2"/>
                <w:sz w:val="28"/>
                <w:szCs w:val="28"/>
                <w:lang w:val="en-US" w:eastAsia="zh-CN" w:bidi="ar-SA"/>
              </w:rPr>
            </w:pPr>
            <w:r>
              <w:rPr>
                <w:rFonts w:hint="eastAsia" w:ascii="仿宋_GB2312" w:hAnsi="宋体" w:eastAsia="仿宋_GB2312" w:cs="宋体"/>
                <w:color w:val="auto"/>
                <w:sz w:val="28"/>
                <w:szCs w:val="28"/>
                <w:lang w:eastAsia="zh-CN"/>
              </w:rPr>
              <w:t>2</w:t>
            </w:r>
            <w:r>
              <w:rPr>
                <w:rFonts w:hint="eastAsia" w:ascii="仿宋_GB2312" w:hAnsi="宋体" w:eastAsia="仿宋_GB2312" w:cs="宋体"/>
                <w:color w:val="auto"/>
                <w:sz w:val="28"/>
                <w:szCs w:val="28"/>
                <w:lang w:val="en-US" w:eastAsia="zh-CN"/>
              </w:rPr>
              <w:t>4</w:t>
            </w:r>
          </w:p>
        </w:tc>
        <w:tc>
          <w:tcPr>
            <w:tcW w:w="1843" w:type="dxa"/>
            <w:shd w:val="clear" w:color="auto" w:fill="auto"/>
            <w:vAlign w:val="center"/>
          </w:tcPr>
          <w:p>
            <w:pPr>
              <w:spacing w:line="580" w:lineRule="exact"/>
              <w:ind w:firstLine="560" w:firstLineChars="200"/>
              <w:rPr>
                <w:rFonts w:hint="default" w:ascii="仿宋_GB2312" w:hAnsi="宋体" w:eastAsia="仿宋_GB2312" w:cs="宋体"/>
                <w:color w:val="auto"/>
                <w:kern w:val="2"/>
                <w:sz w:val="28"/>
                <w:szCs w:val="28"/>
                <w:lang w:val="en-US" w:eastAsia="zh-CN" w:bidi="ar-SA"/>
              </w:rPr>
            </w:pPr>
            <w:r>
              <w:rPr>
                <w:rFonts w:hint="eastAsia" w:ascii="仿宋_GB2312" w:hAnsi="宋体" w:eastAsia="仿宋_GB2312" w:cs="宋体"/>
                <w:color w:val="auto"/>
                <w:sz w:val="28"/>
                <w:szCs w:val="28"/>
                <w:lang w:val="en-US" w:eastAsia="zh-CN"/>
              </w:rPr>
              <w:t>16</w:t>
            </w:r>
          </w:p>
        </w:tc>
        <w:tc>
          <w:tcPr>
            <w:tcW w:w="1582" w:type="dxa"/>
            <w:shd w:val="clear" w:color="auto" w:fill="auto"/>
            <w:vAlign w:val="center"/>
          </w:tcPr>
          <w:p>
            <w:pPr>
              <w:spacing w:line="580" w:lineRule="exact"/>
              <w:ind w:firstLine="560" w:firstLineChars="200"/>
              <w:rPr>
                <w:rFonts w:hint="eastAsia" w:ascii="仿宋_GB2312" w:hAnsi="宋体" w:eastAsia="仿宋_GB2312" w:cs="宋体"/>
                <w:color w:val="auto"/>
                <w:kern w:val="2"/>
                <w:sz w:val="28"/>
                <w:szCs w:val="28"/>
                <w:lang w:val="en-US" w:eastAsia="zh-CN" w:bidi="ar-SA"/>
              </w:rPr>
            </w:pPr>
            <w:r>
              <w:rPr>
                <w:rFonts w:hint="eastAsia" w:ascii="仿宋_GB2312" w:hAnsi="宋体" w:eastAsia="仿宋_GB2312" w:cs="宋体"/>
                <w:color w:val="auto"/>
                <w:sz w:val="28"/>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9" w:type="dxa"/>
            <w:shd w:val="clear" w:color="auto" w:fill="auto"/>
            <w:vAlign w:val="center"/>
          </w:tcPr>
          <w:p>
            <w:pPr>
              <w:spacing w:line="580" w:lineRule="exact"/>
              <w:ind w:firstLine="560" w:firstLineChars="200"/>
              <w:jc w:val="left"/>
              <w:rPr>
                <w:rFonts w:hint="eastAsia" w:ascii="仿宋_GB2312" w:hAnsi="宋体" w:eastAsia="仿宋_GB2312" w:cs="宋体"/>
                <w:color w:val="auto"/>
                <w:kern w:val="2"/>
                <w:sz w:val="28"/>
                <w:szCs w:val="28"/>
                <w:lang w:val="en-US" w:eastAsia="zh-CN" w:bidi="ar-SA"/>
              </w:rPr>
            </w:pPr>
            <w:r>
              <w:rPr>
                <w:rFonts w:hint="eastAsia" w:ascii="仿宋_GB2312" w:hAnsi="宋体" w:eastAsia="仿宋_GB2312" w:cs="宋体"/>
                <w:color w:val="auto"/>
                <w:sz w:val="28"/>
                <w:szCs w:val="28"/>
              </w:rPr>
              <w:t>A</w:t>
            </w:r>
            <w:r>
              <w:rPr>
                <w:rFonts w:hint="eastAsia" w:ascii="仿宋_GB2312" w:hAnsi="宋体" w:eastAsia="仿宋_GB2312" w:cs="宋体"/>
                <w:color w:val="auto"/>
                <w:sz w:val="28"/>
                <w:szCs w:val="28"/>
                <w:lang w:val="en-US" w:eastAsia="zh-CN"/>
              </w:rPr>
              <w:t>2</w:t>
            </w:r>
            <w:r>
              <w:rPr>
                <w:rFonts w:hint="eastAsia" w:ascii="仿宋_GB2312" w:hAnsi="宋体" w:eastAsia="仿宋_GB2312" w:cs="宋体"/>
                <w:color w:val="auto"/>
                <w:sz w:val="28"/>
                <w:szCs w:val="28"/>
              </w:rPr>
              <w:t>类（省级）</w:t>
            </w:r>
          </w:p>
        </w:tc>
        <w:tc>
          <w:tcPr>
            <w:tcW w:w="1843" w:type="dxa"/>
            <w:shd w:val="clear" w:color="auto" w:fill="auto"/>
            <w:vAlign w:val="center"/>
          </w:tcPr>
          <w:p>
            <w:pPr>
              <w:spacing w:line="580" w:lineRule="exact"/>
              <w:ind w:firstLine="560" w:firstLineChars="200"/>
              <w:rPr>
                <w:rFonts w:hint="default" w:ascii="仿宋_GB2312" w:hAnsi="宋体" w:eastAsia="仿宋_GB2312" w:cs="宋体"/>
                <w:color w:val="auto"/>
                <w:kern w:val="2"/>
                <w:sz w:val="28"/>
                <w:szCs w:val="28"/>
                <w:lang w:val="en-US" w:eastAsia="zh-CN" w:bidi="ar-SA"/>
              </w:rPr>
            </w:pPr>
            <w:r>
              <w:rPr>
                <w:rFonts w:hint="eastAsia" w:ascii="仿宋_GB2312" w:hAnsi="宋体" w:eastAsia="仿宋_GB2312" w:cs="宋体"/>
                <w:color w:val="auto"/>
                <w:sz w:val="28"/>
                <w:szCs w:val="28"/>
                <w:lang w:val="en-US" w:eastAsia="zh-CN"/>
              </w:rPr>
              <w:t>8</w:t>
            </w:r>
          </w:p>
        </w:tc>
        <w:tc>
          <w:tcPr>
            <w:tcW w:w="1843" w:type="dxa"/>
            <w:shd w:val="clear" w:color="auto" w:fill="auto"/>
            <w:vAlign w:val="center"/>
          </w:tcPr>
          <w:p>
            <w:pPr>
              <w:spacing w:line="580" w:lineRule="exact"/>
              <w:ind w:firstLine="560" w:firstLineChars="200"/>
              <w:rPr>
                <w:rFonts w:hint="eastAsia" w:ascii="仿宋_GB2312" w:hAnsi="宋体" w:eastAsia="仿宋_GB2312" w:cs="宋体"/>
                <w:color w:val="auto"/>
                <w:kern w:val="2"/>
                <w:sz w:val="28"/>
                <w:szCs w:val="28"/>
                <w:lang w:val="en-US" w:eastAsia="zh-CN" w:bidi="ar-SA"/>
              </w:rPr>
            </w:pPr>
            <w:r>
              <w:rPr>
                <w:rFonts w:hint="eastAsia" w:ascii="仿宋_GB2312" w:hAnsi="宋体" w:eastAsia="仿宋_GB2312" w:cs="宋体"/>
                <w:color w:val="auto"/>
                <w:sz w:val="28"/>
                <w:szCs w:val="28"/>
                <w:lang w:val="en-US" w:eastAsia="zh-CN"/>
              </w:rPr>
              <w:t>6</w:t>
            </w:r>
          </w:p>
        </w:tc>
        <w:tc>
          <w:tcPr>
            <w:tcW w:w="1582" w:type="dxa"/>
            <w:shd w:val="clear" w:color="auto" w:fill="auto"/>
            <w:vAlign w:val="center"/>
          </w:tcPr>
          <w:p>
            <w:pPr>
              <w:spacing w:line="580" w:lineRule="exact"/>
              <w:ind w:firstLine="560" w:firstLineChars="200"/>
              <w:rPr>
                <w:rFonts w:hint="eastAsia" w:ascii="仿宋_GB2312" w:hAnsi="宋体" w:eastAsia="仿宋_GB2312" w:cs="宋体"/>
                <w:color w:val="auto"/>
                <w:kern w:val="2"/>
                <w:sz w:val="28"/>
                <w:szCs w:val="28"/>
                <w:lang w:val="en-US" w:eastAsia="zh-CN" w:bidi="ar-SA"/>
              </w:rPr>
            </w:pPr>
            <w:r>
              <w:rPr>
                <w:rFonts w:hint="eastAsia" w:ascii="仿宋_GB2312" w:hAnsi="宋体" w:eastAsia="仿宋_GB2312" w:cs="宋体"/>
                <w:color w:val="auto"/>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9"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B类（国家级）</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20</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lang w:eastAsia="zh-CN"/>
              </w:rPr>
            </w:pPr>
            <w:r>
              <w:rPr>
                <w:rFonts w:hint="eastAsia" w:ascii="仿宋_GB2312" w:hAnsi="宋体" w:eastAsia="仿宋_GB2312" w:cs="宋体"/>
                <w:color w:val="auto"/>
                <w:sz w:val="28"/>
                <w:szCs w:val="28"/>
              </w:rPr>
              <w:t>1</w:t>
            </w:r>
            <w:r>
              <w:rPr>
                <w:rFonts w:hint="eastAsia" w:ascii="仿宋_GB2312" w:hAnsi="宋体" w:eastAsia="仿宋_GB2312" w:cs="宋体"/>
                <w:color w:val="auto"/>
                <w:sz w:val="28"/>
                <w:szCs w:val="28"/>
                <w:lang w:val="en-US" w:eastAsia="zh-CN"/>
              </w:rPr>
              <w:t>3</w:t>
            </w:r>
          </w:p>
        </w:tc>
        <w:tc>
          <w:tcPr>
            <w:tcW w:w="1582" w:type="dxa"/>
            <w:vAlign w:val="center"/>
          </w:tcPr>
          <w:p>
            <w:pPr>
              <w:spacing w:line="580" w:lineRule="exact"/>
              <w:ind w:firstLine="560" w:firstLineChars="200"/>
              <w:rPr>
                <w:rFonts w:hint="eastAsia" w:ascii="仿宋_GB2312" w:hAnsi="宋体" w:eastAsia="仿宋_GB2312" w:cs="宋体"/>
                <w:color w:val="auto"/>
                <w:sz w:val="28"/>
                <w:szCs w:val="28"/>
                <w:lang w:eastAsia="zh-CN"/>
              </w:rPr>
            </w:pPr>
            <w:r>
              <w:rPr>
                <w:rFonts w:hint="eastAsia" w:ascii="仿宋_GB2312" w:hAnsi="宋体" w:eastAsia="仿宋_GB2312" w:cs="宋体"/>
                <w:color w:val="auto"/>
                <w:sz w:val="28"/>
                <w:szCs w:val="2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9" w:type="dxa"/>
            <w:vAlign w:val="center"/>
          </w:tcPr>
          <w:p>
            <w:pPr>
              <w:spacing w:line="580" w:lineRule="exact"/>
              <w:ind w:firstLine="560" w:firstLineChars="200"/>
              <w:jc w:val="left"/>
              <w:rPr>
                <w:rFonts w:hint="eastAsia" w:ascii="仿宋_GB2312" w:hAnsi="宋体" w:eastAsia="仿宋_GB2312" w:cs="宋体"/>
                <w:color w:val="auto"/>
                <w:sz w:val="28"/>
                <w:szCs w:val="28"/>
              </w:rPr>
            </w:pPr>
            <w:bookmarkStart w:id="10" w:name="_Hlk191386673"/>
            <w:r>
              <w:rPr>
                <w:rFonts w:hint="eastAsia" w:ascii="仿宋_GB2312" w:hAnsi="宋体" w:eastAsia="仿宋_GB2312" w:cs="宋体"/>
                <w:color w:val="auto"/>
                <w:sz w:val="28"/>
                <w:szCs w:val="28"/>
              </w:rPr>
              <w:t>B类（省级）</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6</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4</w:t>
            </w:r>
          </w:p>
        </w:tc>
        <w:tc>
          <w:tcPr>
            <w:tcW w:w="1582"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2</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9"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C类（国家级）</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10</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8</w:t>
            </w:r>
          </w:p>
        </w:tc>
        <w:tc>
          <w:tcPr>
            <w:tcW w:w="1582" w:type="dxa"/>
            <w:vAlign w:val="center"/>
          </w:tcPr>
          <w:p>
            <w:pPr>
              <w:spacing w:line="580" w:lineRule="exact"/>
              <w:ind w:firstLine="560" w:firstLineChars="200"/>
              <w:rPr>
                <w:rFonts w:hint="eastAsia" w:ascii="仿宋_GB2312" w:hAnsi="宋体" w:eastAsia="仿宋_GB2312" w:cs="宋体"/>
                <w:color w:val="auto"/>
                <w:sz w:val="28"/>
                <w:szCs w:val="28"/>
                <w:lang w:eastAsia="zh-CN"/>
              </w:rPr>
            </w:pPr>
            <w:r>
              <w:rPr>
                <w:rFonts w:hint="eastAsia" w:ascii="仿宋_GB2312" w:hAnsi="宋体" w:eastAsia="仿宋_GB2312" w:cs="宋体"/>
                <w:color w:val="auto"/>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9" w:type="dxa"/>
            <w:vAlign w:val="center"/>
          </w:tcPr>
          <w:p>
            <w:pPr>
              <w:spacing w:line="580" w:lineRule="exact"/>
              <w:ind w:firstLine="560" w:firstLineChars="200"/>
              <w:jc w:val="left"/>
              <w:rPr>
                <w:rFonts w:hint="eastAsia" w:ascii="仿宋_GB2312" w:hAnsi="宋体" w:eastAsia="仿宋_GB2312" w:cs="宋体"/>
                <w:color w:val="auto"/>
                <w:sz w:val="28"/>
                <w:szCs w:val="28"/>
              </w:rPr>
            </w:pPr>
            <w:bookmarkStart w:id="11" w:name="_Hlk191386681"/>
            <w:r>
              <w:rPr>
                <w:rFonts w:hint="eastAsia" w:ascii="仿宋_GB2312" w:hAnsi="宋体" w:eastAsia="仿宋_GB2312" w:cs="宋体"/>
                <w:color w:val="auto"/>
                <w:sz w:val="28"/>
                <w:szCs w:val="28"/>
              </w:rPr>
              <w:t>C类（省级）</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4</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2</w:t>
            </w:r>
          </w:p>
        </w:tc>
        <w:tc>
          <w:tcPr>
            <w:tcW w:w="1582"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9"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D类（国家级）</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5</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3</w:t>
            </w:r>
          </w:p>
        </w:tc>
        <w:tc>
          <w:tcPr>
            <w:tcW w:w="1582"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9"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D类（省级）</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2</w:t>
            </w:r>
          </w:p>
        </w:tc>
        <w:tc>
          <w:tcPr>
            <w:tcW w:w="1843"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w:t>
            </w:r>
          </w:p>
        </w:tc>
        <w:tc>
          <w:tcPr>
            <w:tcW w:w="1582" w:type="dxa"/>
            <w:vAlign w:val="center"/>
          </w:tcPr>
          <w:p>
            <w:pPr>
              <w:spacing w:line="58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0.5</w:t>
            </w:r>
          </w:p>
        </w:tc>
      </w:tr>
      <w:bookmarkEnd w:id="7"/>
    </w:tbl>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根据获奖者姓名顺序排名按1.0、0.8、0.7、0.6、0.5、0.4权重计分。</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②参加河北省研究生数学建模竞赛以及河北省高校硕士研究生英语翻译大赛竞赛，</w:t>
      </w:r>
      <w:bookmarkStart w:id="12" w:name="OLE_LINK10"/>
      <w:r>
        <w:rPr>
          <w:rFonts w:hint="eastAsia" w:ascii="仿宋_GB2312" w:hAnsi="仿宋_GB2312" w:eastAsia="仿宋_GB2312" w:cs="仿宋_GB2312"/>
          <w:color w:val="auto"/>
          <w:sz w:val="32"/>
          <w:szCs w:val="32"/>
        </w:rPr>
        <w:t>校赛不予加分</w:t>
      </w:r>
      <w:bookmarkEnd w:id="12"/>
      <w:r>
        <w:rPr>
          <w:rFonts w:hint="eastAsia" w:ascii="仿宋_GB2312" w:hAnsi="仿宋_GB2312" w:eastAsia="仿宋_GB2312" w:cs="仿宋_GB2312"/>
          <w:color w:val="auto"/>
          <w:sz w:val="32"/>
          <w:szCs w:val="32"/>
        </w:rPr>
        <w:t>，省赛加分如下：</w:t>
      </w:r>
    </w:p>
    <w:tbl>
      <w:tblPr>
        <w:tblStyle w:val="1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1"/>
        <w:gridCol w:w="1701"/>
        <w:gridCol w:w="184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3681" w:type="dxa"/>
            <w:tcBorders>
              <w:tl2br w:val="single" w:color="auto" w:sz="4" w:space="0"/>
            </w:tcBorders>
            <w:vAlign w:val="center"/>
          </w:tcPr>
          <w:p>
            <w:pPr>
              <w:spacing w:line="580" w:lineRule="exact"/>
              <w:ind w:firstLine="560" w:firstLineChars="200"/>
              <w:jc w:val="left"/>
              <w:rPr>
                <w:rFonts w:hint="eastAsia" w:ascii="仿宋_GB2312" w:hAnsi="宋体" w:eastAsia="仿宋_GB2312" w:cs="宋体"/>
                <w:color w:val="auto"/>
                <w:sz w:val="28"/>
                <w:szCs w:val="28"/>
              </w:rPr>
            </w:pPr>
            <w:bookmarkStart w:id="13" w:name="_Hlk188022339"/>
            <w:r>
              <w:rPr>
                <w:rFonts w:hint="eastAsia" w:ascii="仿宋_GB2312" w:hAnsi="宋体" w:eastAsia="仿宋_GB2312" w:cs="宋体"/>
                <w:color w:val="auto"/>
                <w:sz w:val="28"/>
                <w:szCs w:val="28"/>
              </w:rPr>
              <w:t xml:space="preserve">          获奖等级</w:t>
            </w:r>
          </w:p>
          <w:p>
            <w:pPr>
              <w:spacing w:line="580" w:lineRule="exact"/>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竞赛名称</w:t>
            </w:r>
          </w:p>
        </w:tc>
        <w:tc>
          <w:tcPr>
            <w:tcW w:w="1701" w:type="dxa"/>
            <w:vAlign w:val="center"/>
          </w:tcPr>
          <w:p>
            <w:pPr>
              <w:spacing w:line="580" w:lineRule="exact"/>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省级一等奖</w:t>
            </w:r>
          </w:p>
        </w:tc>
        <w:tc>
          <w:tcPr>
            <w:tcW w:w="1843" w:type="dxa"/>
            <w:vAlign w:val="center"/>
          </w:tcPr>
          <w:p>
            <w:pPr>
              <w:spacing w:line="580" w:lineRule="exact"/>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省级三等奖</w:t>
            </w:r>
          </w:p>
        </w:tc>
        <w:tc>
          <w:tcPr>
            <w:tcW w:w="1701" w:type="dxa"/>
            <w:vAlign w:val="center"/>
          </w:tcPr>
          <w:p>
            <w:pPr>
              <w:spacing w:line="580" w:lineRule="exact"/>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省级三等奖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3681"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eastAsia="仿宋_GB2312" w:cs="宋体"/>
                <w:color w:val="auto"/>
                <w:kern w:val="0"/>
                <w:sz w:val="28"/>
                <w:szCs w:val="28"/>
              </w:rPr>
              <w:t>河北省研究生数学建模竞赛</w:t>
            </w:r>
          </w:p>
        </w:tc>
        <w:tc>
          <w:tcPr>
            <w:tcW w:w="1701"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3</w:t>
            </w:r>
          </w:p>
        </w:tc>
        <w:tc>
          <w:tcPr>
            <w:tcW w:w="1843"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2</w:t>
            </w:r>
          </w:p>
        </w:tc>
        <w:tc>
          <w:tcPr>
            <w:tcW w:w="1701"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3681" w:type="dxa"/>
            <w:vAlign w:val="center"/>
          </w:tcPr>
          <w:p>
            <w:pPr>
              <w:spacing w:line="580" w:lineRule="exact"/>
              <w:jc w:val="center"/>
              <w:rPr>
                <w:rFonts w:hint="eastAsia" w:ascii="仿宋_GB2312" w:eastAsia="仿宋_GB2312" w:cs="宋体"/>
                <w:color w:val="auto"/>
                <w:kern w:val="0"/>
                <w:sz w:val="28"/>
                <w:szCs w:val="28"/>
              </w:rPr>
            </w:pPr>
            <w:r>
              <w:rPr>
                <w:rFonts w:hint="eastAsia" w:ascii="仿宋_GB2312" w:eastAsia="仿宋_GB2312" w:cs="宋体"/>
                <w:color w:val="auto"/>
                <w:kern w:val="0"/>
                <w:sz w:val="28"/>
                <w:szCs w:val="28"/>
              </w:rPr>
              <w:t>河北省高校硕士研究生英语翻译大赛竞赛</w:t>
            </w:r>
          </w:p>
        </w:tc>
        <w:tc>
          <w:tcPr>
            <w:tcW w:w="1701"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3</w:t>
            </w:r>
          </w:p>
        </w:tc>
        <w:tc>
          <w:tcPr>
            <w:tcW w:w="1843"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2</w:t>
            </w:r>
          </w:p>
        </w:tc>
        <w:tc>
          <w:tcPr>
            <w:tcW w:w="1701" w:type="dxa"/>
            <w:vAlign w:val="center"/>
          </w:tcPr>
          <w:p>
            <w:pPr>
              <w:spacing w:line="58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w:t>
            </w:r>
          </w:p>
        </w:tc>
      </w:tr>
      <w:bookmarkEnd w:id="13"/>
    </w:tbl>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根据获奖者姓名顺序排名按1.0、0.8、0.7、0.6、0.5、0.4权重计分。</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若在学院评审学业奖学金时科技竞赛已公示获奖名单未下发证书，则学生本人需打印出获奖名单后前往学校相关部门盖章认证：</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①所参加竞赛为（河北工大〔2024〕79号-河北工业大学关于印发《河北工业大学大学生竞赛指导目录》的通知）中竞赛需盖校团委章；</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所参加竞赛为中国研究生数学建模竞赛、河北省研究生数学建模竞赛、河北省高校硕士研究生英语翻译大赛竞赛或符合“河北工大〔2024〕79号-河北工业大学关于印发《河北工业大学大学生竞赛指导目录》的通知”中“备注1”和“备注2”的研究生层次竞赛应前往研究生院盖章。</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（5）研究生创新项目获得者</w:t>
      </w:r>
    </w:p>
    <w:tbl>
      <w:tblPr>
        <w:tblStyle w:val="15"/>
        <w:tblW w:w="6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0"/>
        <w:gridCol w:w="216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50"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级别</w:t>
            </w:r>
          </w:p>
        </w:tc>
        <w:tc>
          <w:tcPr>
            <w:tcW w:w="2160"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国家级</w:t>
            </w:r>
          </w:p>
        </w:tc>
        <w:tc>
          <w:tcPr>
            <w:tcW w:w="2160" w:type="dxa"/>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省部级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50"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分数</w:t>
            </w:r>
          </w:p>
        </w:tc>
        <w:tc>
          <w:tcPr>
            <w:tcW w:w="2160" w:type="dxa"/>
            <w:vAlign w:val="center"/>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10</w:t>
            </w:r>
          </w:p>
        </w:tc>
        <w:tc>
          <w:tcPr>
            <w:tcW w:w="2160" w:type="dxa"/>
          </w:tcPr>
          <w:p>
            <w:pPr>
              <w:spacing w:line="580" w:lineRule="exact"/>
              <w:jc w:val="center"/>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5</w:t>
            </w:r>
          </w:p>
        </w:tc>
      </w:tr>
    </w:tbl>
    <w:p>
      <w:pPr>
        <w:spacing w:line="580" w:lineRule="exact"/>
        <w:ind w:firstLine="640" w:firstLineChars="200"/>
        <w:rPr>
          <w:rFonts w:hint="eastAsia" w:ascii="楷体_GB2312" w:hAnsi="仿宋" w:eastAsia="楷体_GB2312"/>
          <w:color w:val="auto"/>
          <w:sz w:val="32"/>
          <w:szCs w:val="32"/>
        </w:rPr>
      </w:pPr>
      <w:r>
        <w:rPr>
          <w:rFonts w:hint="eastAsia" w:ascii="楷体_GB2312" w:hAnsi="仿宋" w:eastAsia="楷体_GB2312"/>
          <w:color w:val="auto"/>
          <w:sz w:val="32"/>
          <w:szCs w:val="32"/>
        </w:rPr>
        <w:t>（三）工作安排及要求</w:t>
      </w:r>
    </w:p>
    <w:p>
      <w:pPr>
        <w:spacing w:line="580" w:lineRule="exact"/>
        <w:ind w:firstLine="643" w:firstLineChars="200"/>
        <w:rPr>
          <w:rFonts w:hint="eastAsia" w:ascii="仿宋_GB2312" w:hAnsi="仿宋" w:eastAsia="仿宋_GB2312"/>
          <w:b/>
          <w:bCs/>
          <w:color w:val="auto"/>
          <w:sz w:val="32"/>
          <w:szCs w:val="32"/>
        </w:rPr>
      </w:pPr>
      <w:r>
        <w:rPr>
          <w:rFonts w:hint="eastAsia" w:ascii="仿宋_GB2312" w:hAnsi="仿宋" w:eastAsia="仿宋_GB2312"/>
          <w:b/>
          <w:bCs/>
          <w:color w:val="auto"/>
          <w:sz w:val="32"/>
          <w:szCs w:val="32"/>
        </w:rPr>
        <w:t>1.工作安排</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1"/>
        <w:gridCol w:w="6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时间</w:t>
            </w:r>
          </w:p>
        </w:tc>
        <w:tc>
          <w:tcPr>
            <w:tcW w:w="6764" w:type="dxa"/>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pPr>
              <w:spacing w:line="580" w:lineRule="exact"/>
              <w:rPr>
                <w:rFonts w:hint="eastAsia" w:ascii="仿宋_GB2312" w:hAnsi="仿宋" w:eastAsia="仿宋_GB2312"/>
                <w:color w:val="auto"/>
                <w:sz w:val="28"/>
                <w:szCs w:val="28"/>
              </w:rPr>
            </w:pPr>
            <w:bookmarkStart w:id="14" w:name="OLE_LINK12"/>
            <w:r>
              <w:rPr>
                <w:rFonts w:hint="eastAsia" w:ascii="仿宋_GB2312" w:hAnsi="仿宋" w:eastAsia="仿宋_GB2312"/>
                <w:color w:val="auto"/>
                <w:sz w:val="28"/>
                <w:szCs w:val="28"/>
              </w:rPr>
              <w:t>根据学校安排确定</w:t>
            </w:r>
            <w:bookmarkEnd w:id="14"/>
          </w:p>
        </w:tc>
        <w:tc>
          <w:tcPr>
            <w:tcW w:w="6764" w:type="dxa"/>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申报阶段：申请人填写《河北工业大学研究生国家奖学金评审量化表》，参评材料需经导师审核，审核通过后导师需在《河北工业大学研究生国家奖学金评审量化表》正面最下方书写“提供材料已通过导师审核，材料真实同意提出申请”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根据学校安排确定</w:t>
            </w:r>
          </w:p>
        </w:tc>
        <w:tc>
          <w:tcPr>
            <w:tcW w:w="6764" w:type="dxa"/>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材料收取阶段：</w:t>
            </w:r>
            <w:r>
              <w:rPr>
                <w:rFonts w:hint="eastAsia" w:ascii="仿宋_GB2312" w:hAnsi="仿宋" w:eastAsia="仿宋_GB2312"/>
                <w:b/>
                <w:bCs/>
                <w:color w:val="auto"/>
                <w:sz w:val="28"/>
                <w:szCs w:val="28"/>
              </w:rPr>
              <w:t>只允许在规定时间内上交参评材料，上交地点：待定。在规定时间之外不收取任何参评材料，不允许增添、删减以及修改参评材料。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根据学校安排确定</w:t>
            </w:r>
          </w:p>
        </w:tc>
        <w:tc>
          <w:tcPr>
            <w:tcW w:w="6764" w:type="dxa"/>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评定阶段：召开评审会议，按照推荐名额的130%进入答辩环节，评审委员会对申请人的材料进行资格审查（验原件，附复印件）、评定和排序，评审委员半数以上对成果投票质疑的，不做推荐。根据学院奖学金名额提出奖学金的建议获得者。</w:t>
            </w:r>
            <w:r>
              <w:rPr>
                <w:rFonts w:hint="eastAsia" w:ascii="仿宋_GB2312" w:hAnsi="仿宋" w:eastAsia="仿宋_GB2312"/>
                <w:b/>
                <w:bCs/>
                <w:color w:val="auto"/>
                <w:sz w:val="28"/>
                <w:szCs w:val="28"/>
              </w:rPr>
              <w:t>具体时间另行通知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根据学校安排确定</w:t>
            </w:r>
          </w:p>
        </w:tc>
        <w:tc>
          <w:tcPr>
            <w:tcW w:w="6764" w:type="dxa"/>
            <w:vAlign w:val="center"/>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公示阶段，公示五个工作日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vAlign w:val="center"/>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根据学校安排确定</w:t>
            </w:r>
          </w:p>
        </w:tc>
        <w:tc>
          <w:tcPr>
            <w:tcW w:w="6764" w:type="dxa"/>
          </w:tcPr>
          <w:p>
            <w:pPr>
              <w:spacing w:line="580" w:lineRule="exact"/>
              <w:rPr>
                <w:rFonts w:hint="eastAsia" w:ascii="仿宋_GB2312" w:hAnsi="仿宋" w:eastAsia="仿宋_GB2312"/>
                <w:color w:val="auto"/>
                <w:sz w:val="28"/>
                <w:szCs w:val="28"/>
              </w:rPr>
            </w:pPr>
            <w:r>
              <w:rPr>
                <w:rFonts w:hint="eastAsia" w:ascii="仿宋_GB2312" w:hAnsi="仿宋" w:eastAsia="仿宋_GB2312"/>
                <w:color w:val="auto"/>
                <w:sz w:val="28"/>
                <w:szCs w:val="28"/>
              </w:rPr>
              <w:t>按学校要求上报</w:t>
            </w:r>
          </w:p>
        </w:tc>
      </w:tr>
    </w:tbl>
    <w:p>
      <w:pPr>
        <w:widowControl/>
        <w:spacing w:line="580" w:lineRule="exact"/>
        <w:ind w:firstLine="643" w:firstLineChars="200"/>
        <w:jc w:val="left"/>
        <w:rPr>
          <w:rFonts w:hint="eastAsia" w:ascii="仿宋_GB2312" w:hAnsi="仿宋" w:eastAsia="仿宋_GB2312"/>
          <w:b/>
          <w:bCs/>
          <w:color w:val="auto"/>
          <w:sz w:val="32"/>
          <w:szCs w:val="32"/>
        </w:rPr>
      </w:pPr>
      <w:r>
        <w:rPr>
          <w:rFonts w:hint="eastAsia" w:ascii="仿宋_GB2312" w:hAnsi="仿宋" w:eastAsia="仿宋_GB2312"/>
          <w:b/>
          <w:bCs/>
          <w:color w:val="auto"/>
          <w:sz w:val="32"/>
          <w:szCs w:val="32"/>
        </w:rPr>
        <w:t>2.佐证材料要求及相关说明</w:t>
      </w:r>
    </w:p>
    <w:p>
      <w:pPr>
        <w:spacing w:line="58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（1）已录用但尚未见刊的论文： ①录用通知原件或由期刊出版社提供的录用证明。若上述两项材料，期刊出版社均不提供，可提交论文录用邮件截图，导师需手写证明“已核实，该论文被xxxx（期刊名）录用，尚未见刊”并签字；②论文全文复印件；</w:t>
      </w:r>
    </w:p>
    <w:p>
      <w:pPr>
        <w:spacing w:line="58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（2）已见刊论文：①论文全文复印件；②检索证明原件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论文</w:t>
      </w:r>
      <w:r>
        <w:rPr>
          <w:rFonts w:hint="eastAsia" w:ascii="仿宋_GB2312" w:hAnsi="仿宋_GB2312" w:eastAsia="仿宋_GB2312" w:cs="仿宋_GB2312"/>
          <w:color w:val="auto"/>
          <w:sz w:val="32"/>
          <w:szCs w:val="32"/>
          <w:lang w:val="en-US" w:eastAsia="zh-CN"/>
        </w:rPr>
        <w:t>在</w:t>
      </w:r>
      <w:r>
        <w:rPr>
          <w:rFonts w:hint="eastAsia" w:ascii="仿宋_GB2312" w:hAnsi="仿宋_GB2312" w:eastAsia="仿宋_GB2312" w:cs="仿宋_GB2312"/>
          <w:color w:val="auto"/>
          <w:sz w:val="32"/>
          <w:szCs w:val="32"/>
        </w:rPr>
        <w:t xml:space="preserve">web of science </w:t>
      </w:r>
      <w:r>
        <w:rPr>
          <w:rFonts w:hint="eastAsia" w:ascii="仿宋_GB2312" w:hAnsi="仿宋_GB2312" w:eastAsia="仿宋_GB2312" w:cs="仿宋_GB2312"/>
          <w:color w:val="auto"/>
          <w:sz w:val="32"/>
          <w:szCs w:val="32"/>
          <w:lang w:val="en-US" w:eastAsia="zh-CN"/>
        </w:rPr>
        <w:t>或</w:t>
      </w:r>
      <w:r>
        <w:rPr>
          <w:rFonts w:hint="eastAsia" w:ascii="仿宋_GB2312" w:hAnsi="仿宋_GB2312" w:eastAsia="仿宋_GB2312" w:cs="仿宋_GB2312"/>
          <w:color w:val="auto"/>
          <w:sz w:val="32"/>
          <w:szCs w:val="32"/>
        </w:rPr>
        <w:t>知网的网页检索页；（论文检索页：中文期刊需提供知网论文检索页（需截图打印出来）、外文期刊需提供Web of SCIENCE 库论文检索页（需截图打印出来））。</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（3）获得各类奖项的同学需提供获奖证书原件、复印件及相关证明材料；</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（4）专利受理或授权证书复印件（若带红章证书的电子版，需彩印）及相关证明材料。</w:t>
      </w:r>
    </w:p>
    <w:p>
      <w:pPr>
        <w:spacing w:line="580" w:lineRule="exact"/>
        <w:ind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（5）其中SCI论文采用期刊引证报告（JCR）分区,论文分区以及ESI高被引，以学院审核申报材料当天在Web of SCIENCE 库里查到的信息为准。</w:t>
      </w:r>
    </w:p>
    <w:p>
      <w:pPr>
        <w:widowControl/>
        <w:spacing w:line="580" w:lineRule="exact"/>
        <w:ind w:firstLine="640" w:firstLineChars="200"/>
        <w:jc w:val="left"/>
        <w:rPr>
          <w:rFonts w:hint="eastAsia" w:ascii="仿宋_GB2312" w:hAnsi="仿宋" w:eastAsia="仿宋_GB2312"/>
          <w:color w:val="auto"/>
          <w:sz w:val="32"/>
          <w:szCs w:val="32"/>
        </w:rPr>
      </w:pPr>
      <w:r>
        <w:rPr>
          <w:rFonts w:hint="eastAsia" w:ascii="仿宋_GB2312" w:hAnsi="仿宋" w:eastAsia="仿宋_GB2312"/>
          <w:color w:val="auto"/>
          <w:sz w:val="32"/>
          <w:szCs w:val="32"/>
        </w:rPr>
        <w:t>注：1.以上所有成果第一署名单位必须为河北工业大学。</w:t>
      </w:r>
    </w:p>
    <w:p>
      <w:pPr>
        <w:widowControl/>
        <w:spacing w:line="580" w:lineRule="exact"/>
        <w:ind w:firstLine="640" w:firstLineChars="200"/>
        <w:jc w:val="left"/>
        <w:rPr>
          <w:rFonts w:hint="eastAsia" w:ascii="仿宋_GB2312" w:hAnsi="仿宋" w:eastAsia="仿宋_GB2312"/>
          <w:color w:val="auto"/>
          <w:sz w:val="32"/>
          <w:szCs w:val="32"/>
        </w:rPr>
      </w:pPr>
      <w:r>
        <w:rPr>
          <w:rFonts w:hint="eastAsia" w:ascii="仿宋_GB2312" w:hAnsi="仿宋" w:eastAsia="仿宋_GB2312"/>
          <w:color w:val="auto"/>
          <w:sz w:val="32"/>
          <w:szCs w:val="32"/>
        </w:rPr>
        <w:t>2.对于邮件录用的文章，必须提供录用邮件的界面，由导师确认后签字，再由委员会上网确定。</w:t>
      </w:r>
    </w:p>
    <w:p>
      <w:pPr>
        <w:widowControl/>
        <w:spacing w:line="580" w:lineRule="exact"/>
        <w:jc w:val="right"/>
        <w:rPr>
          <w:rFonts w:hint="eastAsia" w:ascii="仿宋_GB2312" w:hAnsi="仿宋" w:eastAsia="仿宋_GB2312"/>
          <w:color w:val="auto"/>
          <w:sz w:val="32"/>
          <w:szCs w:val="32"/>
        </w:rPr>
      </w:pPr>
      <w:r>
        <w:rPr>
          <w:rFonts w:hint="eastAsia" w:ascii="仿宋_GB2312" w:hAnsi="仿宋" w:eastAsia="仿宋_GB2312"/>
          <w:color w:val="auto"/>
          <w:sz w:val="32"/>
          <w:szCs w:val="32"/>
        </w:rPr>
        <w:t>电子信息工程学院</w:t>
      </w:r>
    </w:p>
    <w:p>
      <w:pPr>
        <w:spacing w:line="580" w:lineRule="exact"/>
        <w:jc w:val="right"/>
        <w:rPr>
          <w:rFonts w:hint="default" w:ascii="仿宋_GB2312" w:eastAsia="仿宋_GB2312"/>
          <w:color w:val="auto"/>
          <w:sz w:val="32"/>
          <w:szCs w:val="32"/>
          <w:lang w:val="en-US" w:eastAsia="zh-CN"/>
        </w:rPr>
      </w:pPr>
      <w:bookmarkStart w:id="15" w:name="_GoBack"/>
      <w:bookmarkEnd w:id="15"/>
      <w:r>
        <w:rPr>
          <w:rFonts w:hint="eastAsia" w:ascii="仿宋_GB2312" w:eastAsia="仿宋_GB2312"/>
          <w:color w:val="auto"/>
          <w:sz w:val="32"/>
          <w:szCs w:val="32"/>
          <w:lang w:val="en-US" w:eastAsia="zh-CN"/>
        </w:rPr>
        <w:t>2026年1月18日</w:t>
      </w:r>
    </w:p>
    <w:sectPr>
      <w:pgSz w:w="11906" w:h="16838"/>
      <w:pgMar w:top="2155"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8C3D6C-124E-48AE-B6A9-3FC11ED993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A6B06F27-7419-434E-924C-658A339AE35B}"/>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3" w:fontKey="{F39C3F03-AA27-4977-9736-6829B21E39A7}"/>
  </w:font>
  <w:font w:name="仿宋_GB2312">
    <w:altName w:val="仿宋"/>
    <w:panose1 w:val="02010609030101010101"/>
    <w:charset w:val="86"/>
    <w:family w:val="modern"/>
    <w:pitch w:val="default"/>
    <w:sig w:usb0="00000000" w:usb1="00000000" w:usb2="00000010" w:usb3="00000000" w:csb0="00040000" w:csb1="00000000"/>
    <w:embedRegular r:id="rId4" w:fontKey="{4D1FE8CB-0CBC-47FC-AB64-0BD335C39D84}"/>
  </w:font>
  <w:font w:name="仿宋">
    <w:panose1 w:val="02010609060101010101"/>
    <w:charset w:val="86"/>
    <w:family w:val="auto"/>
    <w:pitch w:val="default"/>
    <w:sig w:usb0="800002BF" w:usb1="38CF7CFA" w:usb2="00000016" w:usb3="00000000" w:csb0="00040001" w:csb1="00000000"/>
    <w:embedRegular r:id="rId5" w:fontKey="{19F9A594-1145-4CF7-ADB6-0FBC99298129}"/>
  </w:font>
  <w:font w:name="楷体_GB2312">
    <w:altName w:val="楷体"/>
    <w:panose1 w:val="00000000000000000000"/>
    <w:charset w:val="86"/>
    <w:family w:val="modern"/>
    <w:pitch w:val="default"/>
    <w:sig w:usb0="00000000" w:usb1="00000000" w:usb2="00000010" w:usb3="00000000" w:csb0="00040000" w:csb1="00000000"/>
    <w:embedRegular r:id="rId6" w:fontKey="{E2E025B1-A368-48BA-974B-B4A8D56AB046}"/>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zYjA3MzJiYTRhZWY0YjljYTkzNzY0YjhmM2MyMjkifQ=="/>
  </w:docVars>
  <w:rsids>
    <w:rsidRoot w:val="00934111"/>
    <w:rsid w:val="000F52C0"/>
    <w:rsid w:val="00105CF5"/>
    <w:rsid w:val="0015524F"/>
    <w:rsid w:val="001C3BE2"/>
    <w:rsid w:val="00237827"/>
    <w:rsid w:val="00264595"/>
    <w:rsid w:val="002A7859"/>
    <w:rsid w:val="002B3BAF"/>
    <w:rsid w:val="002F3E7A"/>
    <w:rsid w:val="003B6D10"/>
    <w:rsid w:val="004A358C"/>
    <w:rsid w:val="004B69FC"/>
    <w:rsid w:val="00570704"/>
    <w:rsid w:val="00597D16"/>
    <w:rsid w:val="005D29C2"/>
    <w:rsid w:val="0060421B"/>
    <w:rsid w:val="006601BD"/>
    <w:rsid w:val="00664EB9"/>
    <w:rsid w:val="006C106B"/>
    <w:rsid w:val="007620E7"/>
    <w:rsid w:val="007B72DE"/>
    <w:rsid w:val="007F3D1B"/>
    <w:rsid w:val="00804966"/>
    <w:rsid w:val="008602EC"/>
    <w:rsid w:val="008914BA"/>
    <w:rsid w:val="008A05C5"/>
    <w:rsid w:val="008C63F7"/>
    <w:rsid w:val="009076E4"/>
    <w:rsid w:val="00921D22"/>
    <w:rsid w:val="00934111"/>
    <w:rsid w:val="00946300"/>
    <w:rsid w:val="009D28B4"/>
    <w:rsid w:val="00A30951"/>
    <w:rsid w:val="00A47071"/>
    <w:rsid w:val="00A522B3"/>
    <w:rsid w:val="00A661D2"/>
    <w:rsid w:val="00AF6AE0"/>
    <w:rsid w:val="00B05215"/>
    <w:rsid w:val="00B16DE9"/>
    <w:rsid w:val="00B43EF8"/>
    <w:rsid w:val="00B5071E"/>
    <w:rsid w:val="00B56F8E"/>
    <w:rsid w:val="00B866EF"/>
    <w:rsid w:val="00C10063"/>
    <w:rsid w:val="00C1349B"/>
    <w:rsid w:val="00C63AEF"/>
    <w:rsid w:val="00C97073"/>
    <w:rsid w:val="00CC4698"/>
    <w:rsid w:val="00D14656"/>
    <w:rsid w:val="00D25E0B"/>
    <w:rsid w:val="00D77B1A"/>
    <w:rsid w:val="00D81598"/>
    <w:rsid w:val="00D8254D"/>
    <w:rsid w:val="00DB1345"/>
    <w:rsid w:val="00DC7283"/>
    <w:rsid w:val="00DF176C"/>
    <w:rsid w:val="00DF3EFF"/>
    <w:rsid w:val="00E520C2"/>
    <w:rsid w:val="00EB67EA"/>
    <w:rsid w:val="00F2369C"/>
    <w:rsid w:val="00F5394D"/>
    <w:rsid w:val="0739677D"/>
    <w:rsid w:val="23494166"/>
    <w:rsid w:val="3CFC2345"/>
    <w:rsid w:val="41BC18AD"/>
    <w:rsid w:val="6CB574D5"/>
    <w:rsid w:val="7E746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8"/>
    <w:qFormat/>
    <w:uiPriority w:val="9"/>
    <w:pPr>
      <w:keepNext/>
      <w:keepLines/>
      <w:pBdr>
        <w:bottom w:val="single" w:color="C1E4F5" w:themeColor="accent1" w:themeTint="33" w:sz="8" w:space="0"/>
      </w:pBdr>
      <w:spacing w:after="200" w:line="300" w:lineRule="auto"/>
      <w:outlineLvl w:val="0"/>
    </w:pPr>
    <w:rPr>
      <w:rFonts w:eastAsia="Microsoft YaHei UI" w:asciiTheme="majorHAnsi" w:hAnsiTheme="majorHAnsi" w:cstheme="majorBidi"/>
      <w:color w:val="156082" w:themeColor="accent1"/>
      <w:kern w:val="0"/>
      <w:sz w:val="36"/>
      <w:szCs w:val="36"/>
      <w:lang w:val="en-US" w:eastAsia="ja-JP" w:bidi="ar-SA"/>
      <w14:textFill>
        <w14:solidFill>
          <w14:schemeClr w14:val="accent1"/>
        </w14:solidFill>
      </w14:textFill>
    </w:rPr>
  </w:style>
  <w:style w:type="paragraph" w:styleId="3">
    <w:name w:val="heading 2"/>
    <w:next w:val="1"/>
    <w:link w:val="19"/>
    <w:unhideWhenUsed/>
    <w:qFormat/>
    <w:uiPriority w:val="9"/>
    <w:pPr>
      <w:keepNext/>
      <w:keepLines/>
      <w:spacing w:before="120" w:after="120"/>
      <w:outlineLvl w:val="1"/>
    </w:pPr>
    <w:rPr>
      <w:rFonts w:eastAsia="Microsoft YaHei UI" w:asciiTheme="minorHAnsi" w:hAnsiTheme="minorHAnsi" w:cstheme="minorBidi"/>
      <w:b/>
      <w:bCs/>
      <w:color w:val="0E2841" w:themeColor="text2"/>
      <w:kern w:val="0"/>
      <w:sz w:val="26"/>
      <w:szCs w:val="26"/>
      <w:lang w:val="en-US" w:eastAsia="ja-JP" w:bidi="ar-SA"/>
      <w14:textFill>
        <w14:solidFill>
          <w14:schemeClr w14:val="tx2"/>
        </w14:solidFill>
      </w14:textFill>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eastAsia="Microsoft YaHei UI" w:asciiTheme="majorHAnsi" w:hAnsiTheme="majorHAnsi" w:cstheme="majorBidi"/>
      <w:color w:val="156082" w:themeColor="accent1"/>
      <w:kern w:val="0"/>
      <w:sz w:val="36"/>
      <w:szCs w:val="36"/>
      <w:lang w:eastAsia="ja-JP"/>
      <w14:textFill>
        <w14:solidFill>
          <w14:schemeClr w14:val="accent1"/>
        </w14:solidFill>
      </w14:textFill>
    </w:rPr>
  </w:style>
  <w:style w:type="character" w:customStyle="1" w:styleId="19">
    <w:name w:val="标题 2 字符"/>
    <w:basedOn w:val="17"/>
    <w:link w:val="3"/>
    <w:uiPriority w:val="9"/>
    <w:rPr>
      <w:rFonts w:eastAsia="Microsoft YaHei UI"/>
      <w:b/>
      <w:bCs/>
      <w:color w:val="0E2841" w:themeColor="text2"/>
      <w:kern w:val="0"/>
      <w:sz w:val="26"/>
      <w:szCs w:val="26"/>
      <w:lang w:eastAsia="ja-JP"/>
      <w14:textFill>
        <w14:solidFill>
          <w14:schemeClr w14:val="tx2"/>
        </w14:solidFill>
      </w14:textFill>
    </w:rPr>
  </w:style>
  <w:style w:type="character" w:customStyle="1" w:styleId="20">
    <w:name w:val="标题 3 字符"/>
    <w:basedOn w:val="17"/>
    <w:link w:val="4"/>
    <w:semiHidden/>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uiPriority w:val="9"/>
    <w:rPr>
      <w:rFonts w:cstheme="majorBidi"/>
      <w:b/>
      <w:bCs/>
      <w:color w:val="104862" w:themeColor="accent1" w:themeShade="BF"/>
    </w:rPr>
  </w:style>
  <w:style w:type="character" w:customStyle="1" w:styleId="24">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2"/>
    <w:uiPriority w:val="99"/>
    <w:rPr>
      <w:sz w:val="18"/>
      <w:szCs w:val="18"/>
    </w:rPr>
  </w:style>
  <w:style w:type="character" w:customStyle="1" w:styleId="37">
    <w:name w:val="页脚 字符"/>
    <w:basedOn w:val="17"/>
    <w:link w:val="11"/>
    <w:uiPriority w:val="99"/>
    <w:rPr>
      <w:sz w:val="18"/>
      <w:szCs w:val="18"/>
    </w:rPr>
  </w:style>
  <w:style w:type="character" w:customStyle="1" w:styleId="38">
    <w:name w:val="NormalCharacter"/>
    <w:semiHidden/>
    <w:qFormat/>
    <w:uiPriority w:val="0"/>
  </w:style>
  <w:style w:type="paragraph" w:customStyle="1" w:styleId="39">
    <w:name w:val="179"/>
    <w:basedOn w:val="1"/>
    <w:qFormat/>
    <w:uiPriority w:val="0"/>
    <w:pPr>
      <w:widowControl/>
      <w:ind w:firstLine="420" w:firstLineChars="200"/>
      <w:textAlignment w:val="baseline"/>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2659</Words>
  <Characters>2840</Characters>
  <Lines>22</Lines>
  <Paragraphs>6</Paragraphs>
  <TotalTime>4</TotalTime>
  <ScaleCrop>false</ScaleCrop>
  <LinksUpToDate>false</LinksUpToDate>
  <CharactersWithSpaces>2881</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2025-02-23T13:11:00Z</dcterms:created>
  <dc:creator>赫彬 孙</dc:creator>
  <cp:lastModifiedBy>刘思超</cp:lastModifiedBy>
  <dcterms:modified xsi:type="dcterms:W3CDTF">2026-01-19T01:16:03Z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eyJoZGlkIjoiYzJjNjZmMzMzMjZmNWEwZmE3YjgyNGE5NzRlMTdiZWMiLCJ1c2VySWQiOiIxNjMwNTI3MzQ0In0=</vt:lpwstr>
  </property>
  <property fmtid="{D5CDD505-2E9C-101B-9397-08002B2CF9AE}" pid="3" name="KSOProductBuildVer">
    <vt:lpwstr>2052-11.1.0.12173</vt:lpwstr>
  </property>
  <property fmtid="{D5CDD505-2E9C-101B-9397-08002B2CF9AE}" pid="4" name="ICV">
    <vt:lpwstr>E4C1FDEF23664699970571C25178FC97_12</vt:lpwstr>
  </property>
</Properties>
</file>