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904912F">
      <w:pPr>
        <w:adjustRightInd w:val="0"/>
        <w:snapToGrid w:val="0"/>
        <w:spacing w:line="500" w:lineRule="exact"/>
        <w:jc w:val="center"/>
        <w:rPr>
          <w:rFonts w:ascii="方正小标宋简体" w:hAnsi="方正小标宋简体" w:eastAsia="方正小标宋简体"/>
          <w:sz w:val="40"/>
          <w:szCs w:val="36"/>
        </w:rPr>
      </w:pPr>
      <w:r>
        <w:rPr>
          <w:rFonts w:hint="eastAsia" w:ascii="方正小标宋简体" w:hAnsi="方正小标宋简体" w:eastAsia="方正小标宋简体"/>
          <w:sz w:val="36"/>
          <w:szCs w:val="32"/>
        </w:rPr>
        <w:t>化工学院硕士研究生学业奖学金评审细则</w:t>
      </w:r>
      <w:r>
        <w:rPr>
          <w:rFonts w:hint="eastAsia" w:ascii="方正小标宋简体" w:hAnsi="方正小标宋简体" w:eastAsia="方正小标宋简体"/>
          <w:sz w:val="40"/>
          <w:szCs w:val="36"/>
        </w:rPr>
        <w:t xml:space="preserve"> </w:t>
      </w:r>
    </w:p>
    <w:p w14:paraId="2F426ED9">
      <w:pPr>
        <w:adjustRightInd w:val="0"/>
        <w:snapToGrid w:val="0"/>
        <w:spacing w:line="500" w:lineRule="exact"/>
        <w:jc w:val="center"/>
        <w:rPr>
          <w:rFonts w:ascii="方正小标宋简体" w:hAnsi="方正小标宋简体" w:eastAsia="方正小标宋简体"/>
          <w:sz w:val="28"/>
          <w:szCs w:val="28"/>
        </w:rPr>
      </w:pPr>
      <w:r>
        <w:rPr>
          <w:rFonts w:hint="eastAsia" w:ascii="方正小标宋简体" w:hAnsi="方正小标宋简体" w:eastAsia="方正小标宋简体"/>
          <w:sz w:val="28"/>
          <w:szCs w:val="28"/>
        </w:rPr>
        <w:t>第一章  总  则</w:t>
      </w:r>
    </w:p>
    <w:p w14:paraId="22A34C35">
      <w:pPr>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color w:val="000000"/>
          <w:sz w:val="28"/>
          <w:szCs w:val="28"/>
        </w:rPr>
        <w:t>一、</w:t>
      </w:r>
      <w:r>
        <w:rPr>
          <w:rFonts w:hint="eastAsia" w:ascii="仿宋_GB2312" w:hAnsi="仿宋" w:eastAsia="仿宋_GB2312"/>
          <w:sz w:val="28"/>
          <w:szCs w:val="28"/>
        </w:rPr>
        <w:t>根据《河北工业大学研究生学业奖学金管理办法（修订）》（河北工大[2022] 96 号）文件精神和研究生院关于硕士研究生学业奖学金评定工作的通知，结合我院研究生工作实际，制定本细则。</w:t>
      </w:r>
    </w:p>
    <w:p w14:paraId="6DAF4AC4">
      <w:pPr>
        <w:adjustRightInd w:val="0"/>
        <w:snapToGrid w:val="0"/>
        <w:spacing w:line="500" w:lineRule="exact"/>
        <w:ind w:left="630" w:leftChars="300"/>
        <w:rPr>
          <w:rFonts w:ascii="仿宋_GB2312" w:hAnsi="仿宋" w:eastAsia="仿宋_GB2312"/>
          <w:b/>
          <w:color w:val="000000"/>
          <w:sz w:val="28"/>
          <w:szCs w:val="28"/>
        </w:rPr>
      </w:pPr>
      <w:r>
        <w:rPr>
          <w:rFonts w:hint="eastAsia" w:ascii="仿宋_GB2312" w:hAnsi="仿宋" w:eastAsia="仿宋_GB2312"/>
          <w:b/>
          <w:color w:val="000000"/>
          <w:sz w:val="28"/>
          <w:szCs w:val="28"/>
        </w:rPr>
        <w:t>二、评审组与职责：</w:t>
      </w:r>
    </w:p>
    <w:p w14:paraId="78D44646">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根据学校相关规定，由化工学院学生工作领导小组负责制定本学院研究生学业奖学金评审实施细则，并提名成立本学院研究生学业奖学金评审委员会（以下简称“</w:t>
      </w:r>
      <w:bookmarkStart w:id="0" w:name="OLE_LINK3"/>
      <w:r>
        <w:rPr>
          <w:rFonts w:hint="eastAsia" w:ascii="仿宋_GB2312" w:hAnsi="仿宋" w:eastAsia="仿宋_GB2312"/>
          <w:sz w:val="28"/>
          <w:szCs w:val="28"/>
        </w:rPr>
        <w:t>评审委员会</w:t>
      </w:r>
      <w:bookmarkEnd w:id="0"/>
      <w:r>
        <w:rPr>
          <w:rFonts w:hint="eastAsia" w:ascii="仿宋_GB2312" w:hAnsi="仿宋" w:eastAsia="仿宋_GB2312"/>
          <w:sz w:val="28"/>
          <w:szCs w:val="28"/>
        </w:rPr>
        <w:t>”），负责研究生学业奖学金申报、审核、评审、公示、上报等工作。</w:t>
      </w:r>
    </w:p>
    <w:p w14:paraId="0298DC0D">
      <w:pPr>
        <w:adjustRightInd w:val="0"/>
        <w:snapToGrid w:val="0"/>
        <w:spacing w:line="500" w:lineRule="exact"/>
        <w:ind w:left="630" w:leftChars="300"/>
        <w:rPr>
          <w:rFonts w:ascii="仿宋_GB2312" w:hAnsi="仿宋" w:eastAsia="仿宋_GB2312"/>
          <w:b/>
          <w:color w:val="000000"/>
          <w:sz w:val="28"/>
          <w:szCs w:val="28"/>
        </w:rPr>
      </w:pPr>
      <w:r>
        <w:rPr>
          <w:rFonts w:hint="eastAsia" w:ascii="仿宋_GB2312" w:hAnsi="仿宋" w:eastAsia="仿宋_GB2312"/>
          <w:b/>
          <w:color w:val="000000"/>
          <w:sz w:val="28"/>
          <w:szCs w:val="28"/>
        </w:rPr>
        <w:t>三、评选范围：</w:t>
      </w:r>
    </w:p>
    <w:p w14:paraId="3D3E9280">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河北工业大学化工学院全日制硕士研究生（有固定工资收入的除外，休学、保留入学资格和延期毕业研究生不参加当年度学业奖学金评定，未正常缴纳学费和住宿费的研究生不能参加学业奖学金的评定）。获得学业奖学金的研究生须具有中华人民共和国国籍。</w:t>
      </w:r>
    </w:p>
    <w:p w14:paraId="2486FFB0">
      <w:pPr>
        <w:adjustRightInd w:val="0"/>
        <w:snapToGrid w:val="0"/>
        <w:spacing w:line="500" w:lineRule="exact"/>
        <w:jc w:val="center"/>
        <w:rPr>
          <w:rFonts w:ascii="方正小标宋简体" w:hAnsi="方正小标宋简体" w:eastAsia="方正小标宋简体"/>
          <w:sz w:val="28"/>
          <w:szCs w:val="28"/>
        </w:rPr>
      </w:pPr>
      <w:r>
        <w:rPr>
          <w:rFonts w:hint="eastAsia" w:ascii="方正小标宋简体" w:hAnsi="方正小标宋简体" w:eastAsia="方正小标宋简体"/>
          <w:sz w:val="28"/>
          <w:szCs w:val="28"/>
        </w:rPr>
        <w:t>第二章  评定办法</w:t>
      </w:r>
    </w:p>
    <w:p w14:paraId="6A0BBC7B">
      <w:pPr>
        <w:adjustRightInd w:val="0"/>
        <w:snapToGrid w:val="0"/>
        <w:spacing w:line="500" w:lineRule="exact"/>
        <w:ind w:left="630" w:leftChars="300"/>
        <w:rPr>
          <w:rFonts w:ascii="仿宋_GB2312" w:hAnsi="仿宋" w:eastAsia="仿宋_GB2312"/>
          <w:b/>
          <w:color w:val="000000"/>
          <w:sz w:val="28"/>
          <w:szCs w:val="28"/>
        </w:rPr>
      </w:pPr>
      <w:r>
        <w:rPr>
          <w:rFonts w:hint="eastAsia" w:ascii="仿宋_GB2312" w:hAnsi="仿宋" w:eastAsia="仿宋_GB2312"/>
          <w:b/>
          <w:color w:val="000000"/>
          <w:sz w:val="28"/>
          <w:szCs w:val="28"/>
        </w:rPr>
        <w:t>四、奖励比例：</w:t>
      </w:r>
    </w:p>
    <w:p w14:paraId="5F4AA7B4">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研究生学业奖学金奖励比例和标准为：硕士研究生分一、二、三等，获奖比例及金额以学校制定的标准为准。</w:t>
      </w:r>
    </w:p>
    <w:p w14:paraId="4E10893E">
      <w:pPr>
        <w:adjustRightInd w:val="0"/>
        <w:snapToGrid w:val="0"/>
        <w:spacing w:line="500" w:lineRule="exact"/>
        <w:ind w:left="630" w:leftChars="300"/>
        <w:rPr>
          <w:rFonts w:ascii="仿宋_GB2312" w:hAnsi="仿宋" w:eastAsia="仿宋_GB2312"/>
          <w:b/>
          <w:color w:val="000000"/>
          <w:sz w:val="28"/>
          <w:szCs w:val="28"/>
        </w:rPr>
      </w:pPr>
      <w:r>
        <w:rPr>
          <w:rFonts w:hint="eastAsia" w:ascii="仿宋_GB2312" w:hAnsi="仿宋" w:eastAsia="仿宋_GB2312"/>
          <w:b/>
          <w:color w:val="000000"/>
          <w:sz w:val="28"/>
          <w:szCs w:val="28"/>
        </w:rPr>
        <w:t>五、基本条件：</w:t>
      </w:r>
    </w:p>
    <w:p w14:paraId="6B6DFC18">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1、热爱社会主义祖国，拥护中国共产党的领导；</w:t>
      </w:r>
    </w:p>
    <w:p w14:paraId="756D061F">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2、遵守宪法和法律，遵守学校规章制度；</w:t>
      </w:r>
    </w:p>
    <w:p w14:paraId="7290D88E">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3、诚实守信，道德品质优良；</w:t>
      </w:r>
    </w:p>
    <w:p w14:paraId="39D0C52F">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4、学习刻苦努力，成绩优秀；</w:t>
      </w:r>
    </w:p>
    <w:p w14:paraId="192970D2">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5、积极参与科学研究和社会实践；</w:t>
      </w:r>
    </w:p>
    <w:p w14:paraId="65D9EC79">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6、热爱祖国、热爱人民、热爱社会主义，认真学习党团理论知识，按要求参加党团理论学习。</w:t>
      </w:r>
    </w:p>
    <w:p w14:paraId="7451C308">
      <w:pPr>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sz w:val="28"/>
          <w:szCs w:val="28"/>
        </w:rPr>
        <w:t>六、</w:t>
      </w:r>
      <w:r>
        <w:rPr>
          <w:rFonts w:hint="eastAsia" w:ascii="仿宋_GB2312" w:hAnsi="仿宋" w:eastAsia="仿宋_GB2312"/>
          <w:sz w:val="28"/>
          <w:szCs w:val="28"/>
        </w:rPr>
        <w:t>研究生在学年内如违法、受到学校警告以上违纪处分、学习成绩有不及格记录、学术研究中有弄虚作假等行为，取消当年的学业奖学金评审资格。获得奖学金后将录用论文撤回的，收回已发奖学金。</w:t>
      </w:r>
    </w:p>
    <w:p w14:paraId="7FB40B61">
      <w:pPr>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sz w:val="28"/>
          <w:szCs w:val="28"/>
        </w:rPr>
        <w:t>七、</w:t>
      </w:r>
      <w:r>
        <w:rPr>
          <w:rFonts w:hint="eastAsia" w:ascii="仿宋_GB2312" w:hAnsi="仿宋" w:eastAsia="仿宋_GB2312"/>
          <w:sz w:val="28"/>
          <w:szCs w:val="28"/>
        </w:rPr>
        <w:t>获得学业奖学金奖励的研究生，可以同时获得研究生国家奖学金、研究生国家助学金和校内其他研究生奖助政策资助。研究生获得学业奖学金情况记入学生学籍档案。</w:t>
      </w:r>
    </w:p>
    <w:p w14:paraId="392583A5">
      <w:pPr>
        <w:adjustRightInd w:val="0"/>
        <w:snapToGrid w:val="0"/>
        <w:spacing w:line="500" w:lineRule="exact"/>
        <w:ind w:left="630" w:leftChars="300"/>
        <w:rPr>
          <w:rFonts w:ascii="仿宋_GB2312" w:hAnsi="仿宋" w:eastAsia="仿宋_GB2312"/>
          <w:b/>
          <w:sz w:val="28"/>
          <w:szCs w:val="28"/>
        </w:rPr>
      </w:pPr>
      <w:r>
        <w:rPr>
          <w:rFonts w:hint="eastAsia" w:ascii="仿宋_GB2312" w:hAnsi="仿宋" w:eastAsia="仿宋_GB2312"/>
          <w:b/>
          <w:sz w:val="28"/>
          <w:szCs w:val="28"/>
        </w:rPr>
        <w:t>八、评分办法：</w:t>
      </w:r>
    </w:p>
    <w:p w14:paraId="6F383112">
      <w:pPr>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1、研究生学业奖学金的评定首先由研究生本人提出申请。导师须对研究生本学年的学习成绩、科研状况及其综合表现做出评价并签署意见</w:t>
      </w:r>
    </w:p>
    <w:p w14:paraId="59BF8177">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2、满足基本条件的研究生根据评价学年的课程成绩、科研成果、社会活动、获奖情况等方面进行综合测评，测评总分计算如下：</w:t>
      </w:r>
    </w:p>
    <w:p w14:paraId="22D68ADF">
      <w:pPr>
        <w:tabs>
          <w:tab w:val="left" w:pos="8056"/>
        </w:tabs>
        <w:adjustRightInd w:val="0"/>
        <w:snapToGrid w:val="0"/>
        <w:spacing w:line="500" w:lineRule="exact"/>
        <w:ind w:firstLine="562" w:firstLineChars="200"/>
        <w:rPr>
          <w:rFonts w:ascii="仿宋_GB2312" w:hAnsi="仿宋" w:eastAsia="仿宋_GB2312"/>
          <w:b/>
          <w:sz w:val="28"/>
          <w:szCs w:val="28"/>
        </w:rPr>
      </w:pPr>
      <w:r>
        <w:rPr>
          <w:rFonts w:hint="eastAsia" w:ascii="仿宋_GB2312" w:hAnsi="仿宋" w:eastAsia="仿宋_GB2312"/>
          <w:b/>
          <w:sz w:val="28"/>
          <w:szCs w:val="28"/>
        </w:rPr>
        <w:t>研究生三年级：</w:t>
      </w:r>
    </w:p>
    <w:p w14:paraId="1B9A6248">
      <w:pPr>
        <w:tabs>
          <w:tab w:val="left" w:pos="8056"/>
        </w:tabs>
        <w:adjustRightInd w:val="0"/>
        <w:snapToGrid w:val="0"/>
        <w:spacing w:line="500" w:lineRule="exact"/>
        <w:ind w:firstLine="562" w:firstLineChars="200"/>
        <w:rPr>
          <w:rFonts w:ascii="仿宋_GB2312" w:hAnsi="仿宋" w:eastAsia="仿宋_GB2312"/>
          <w:b/>
          <w:sz w:val="28"/>
          <w:szCs w:val="28"/>
        </w:rPr>
      </w:pPr>
      <w:r>
        <w:rPr>
          <w:rFonts w:hint="eastAsia" w:ascii="仿宋_GB2312" w:hAnsi="仿宋" w:eastAsia="仿宋_GB2312"/>
          <w:b/>
          <w:sz w:val="28"/>
          <w:szCs w:val="28"/>
        </w:rPr>
        <w:t>总分=科研成果分+社会活动分+学术科技竞赛分</w:t>
      </w:r>
    </w:p>
    <w:p w14:paraId="0CB932C2">
      <w:pPr>
        <w:tabs>
          <w:tab w:val="left" w:pos="8056"/>
        </w:tabs>
        <w:adjustRightInd w:val="0"/>
        <w:snapToGrid w:val="0"/>
        <w:spacing w:line="500" w:lineRule="exact"/>
        <w:ind w:firstLine="562" w:firstLineChars="200"/>
        <w:rPr>
          <w:rFonts w:ascii="仿宋_GB2312" w:hAnsi="仿宋" w:eastAsia="仿宋_GB2312"/>
          <w:b/>
          <w:sz w:val="28"/>
          <w:szCs w:val="28"/>
        </w:rPr>
      </w:pPr>
      <w:r>
        <w:rPr>
          <w:rFonts w:hint="eastAsia" w:ascii="仿宋_GB2312" w:hAnsi="仿宋" w:eastAsia="仿宋_GB2312"/>
          <w:b/>
          <w:sz w:val="28"/>
          <w:szCs w:val="28"/>
        </w:rPr>
        <w:t>研究生二年级：</w:t>
      </w:r>
    </w:p>
    <w:p w14:paraId="37DD04B5">
      <w:pPr>
        <w:tabs>
          <w:tab w:val="left" w:pos="8056"/>
        </w:tabs>
        <w:adjustRightInd w:val="0"/>
        <w:snapToGrid w:val="0"/>
        <w:spacing w:line="500" w:lineRule="exact"/>
        <w:ind w:firstLine="562" w:firstLineChars="200"/>
        <w:rPr>
          <w:rFonts w:ascii="仿宋_GB2312" w:hAnsi="仿宋" w:eastAsia="仿宋_GB2312"/>
          <w:b/>
          <w:sz w:val="28"/>
          <w:szCs w:val="28"/>
        </w:rPr>
      </w:pPr>
      <w:r>
        <w:rPr>
          <w:rFonts w:hint="eastAsia" w:ascii="仿宋_GB2312" w:hAnsi="仿宋" w:eastAsia="仿宋_GB2312"/>
          <w:b/>
          <w:sz w:val="28"/>
          <w:szCs w:val="28"/>
        </w:rPr>
        <w:t>总分=课程成绩分+科研成果分+社会活动分+学术科技竞赛分</w:t>
      </w:r>
    </w:p>
    <w:p w14:paraId="350A717D">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3、课程成绩分</w:t>
      </w:r>
    </w:p>
    <w:p w14:paraId="6CB0AB2A">
      <w:pPr>
        <w:tabs>
          <w:tab w:val="left" w:pos="8056"/>
        </w:tabs>
        <w:adjustRightInd w:val="0"/>
        <w:snapToGrid w:val="0"/>
        <w:spacing w:line="500" w:lineRule="exact"/>
        <w:ind w:left="567" w:leftChars="270" w:firstLine="425" w:firstLineChars="152"/>
        <w:rPr>
          <w:rFonts w:ascii="仿宋_GB2312" w:hAnsi="仿宋" w:eastAsia="仿宋_GB2312"/>
          <w:sz w:val="28"/>
          <w:szCs w:val="28"/>
        </w:rPr>
      </w:pPr>
      <w:r>
        <w:rPr>
          <w:rFonts w:hint="eastAsia" w:ascii="仿宋_GB2312" w:hAnsi="仿宋" w:eastAsia="仿宋_GB2312"/>
          <w:sz w:val="28"/>
          <w:szCs w:val="28"/>
        </w:rPr>
        <w:t>课程成绩分为研一所修全部课程加权平均成绩，以研究生教学干事登记成绩为准。</w:t>
      </w:r>
    </w:p>
    <w:p w14:paraId="50A35388">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4、科研成果</w:t>
      </w:r>
    </w:p>
    <w:p w14:paraId="24C86A31">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（1）论文部分（所有会议论文一概不予加分）</w:t>
      </w:r>
    </w:p>
    <w:p w14:paraId="379E8EDA">
      <w:pPr>
        <w:spacing w:line="440" w:lineRule="exact"/>
        <w:ind w:firstLine="991" w:firstLineChars="413"/>
        <w:rPr>
          <w:rFonts w:ascii="仿宋_GB2312" w:hAnsi="仿宋" w:eastAsia="仿宋_GB2312"/>
          <w:sz w:val="28"/>
          <w:szCs w:val="28"/>
        </w:rPr>
      </w:pPr>
      <w:r>
        <w:rPr>
          <w:rFonts w:ascii="Cambria Math" w:hAnsi="Cambria Math" w:eastAsia="仿宋_GB2312"/>
          <w:sz w:val="24"/>
        </w:rPr>
        <w:t>①</w:t>
      </w:r>
      <w:r>
        <w:rPr>
          <w:rFonts w:hint="eastAsia" w:ascii="仿宋_GB2312" w:hAnsi="仿宋" w:eastAsia="仿宋_GB2312"/>
          <w:sz w:val="28"/>
          <w:szCs w:val="28"/>
        </w:rPr>
        <w:t xml:space="preserve">Science、Nature、Cell               </w:t>
      </w:r>
      <w:r>
        <w:rPr>
          <w:rFonts w:hint="eastAsia" w:ascii="仿宋_GB2312" w:hAnsi="仿宋" w:eastAsia="仿宋_GB2312"/>
          <w:sz w:val="36"/>
          <w:szCs w:val="36"/>
        </w:rPr>
        <w:t xml:space="preserve">         </w:t>
      </w:r>
      <w:r>
        <w:rPr>
          <w:rFonts w:hint="eastAsia" w:ascii="仿宋_GB2312" w:hAnsi="仿宋" w:eastAsia="仿宋_GB2312"/>
          <w:sz w:val="28"/>
          <w:szCs w:val="28"/>
        </w:rPr>
        <w:t>150分</w:t>
      </w:r>
    </w:p>
    <w:p w14:paraId="665E9452">
      <w:pPr>
        <w:spacing w:before="86" w:line="189" w:lineRule="auto"/>
        <w:ind w:left="1129" w:leftChars="473" w:hanging="136" w:hangingChars="57"/>
        <w:rPr>
          <w:rFonts w:ascii="仿宋_GB2312" w:hAnsi="仿宋" w:eastAsia="仿宋_GB2312"/>
          <w:sz w:val="28"/>
          <w:szCs w:val="28"/>
        </w:rPr>
      </w:pPr>
      <w:r>
        <w:rPr>
          <w:rFonts w:ascii="Cambria Math" w:hAnsi="Cambria Math" w:eastAsia="仿宋_GB2312"/>
          <w:sz w:val="24"/>
        </w:rPr>
        <w:t>②</w:t>
      </w:r>
      <w:r>
        <w:rPr>
          <w:rFonts w:hint="eastAsia" w:ascii="仿宋_GB2312" w:hAnsi="仿宋" w:eastAsia="仿宋_GB2312"/>
          <w:sz w:val="28"/>
          <w:szCs w:val="28"/>
        </w:rPr>
        <w:t>Nature 大子刊</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80</w:t>
      </w:r>
      <w:r>
        <w:rPr>
          <w:rFonts w:ascii="仿宋_GB2312" w:hAnsi="仿宋" w:eastAsia="仿宋_GB2312"/>
          <w:sz w:val="28"/>
          <w:szCs w:val="28"/>
        </w:rPr>
        <w:t>分</w:t>
      </w:r>
    </w:p>
    <w:p w14:paraId="30D08F31">
      <w:pPr>
        <w:spacing w:line="440" w:lineRule="exact"/>
        <w:ind w:left="210" w:leftChars="100" w:firstLine="751" w:firstLineChars="313"/>
        <w:rPr>
          <w:rFonts w:ascii="仿宋_GB2312" w:hAnsi="仿宋" w:eastAsia="仿宋_GB2312"/>
          <w:sz w:val="28"/>
          <w:szCs w:val="28"/>
        </w:rPr>
      </w:pPr>
      <w:r>
        <w:rPr>
          <w:rFonts w:ascii="Cambria Math" w:hAnsi="Cambria Math" w:eastAsia="仿宋_GB2312"/>
          <w:sz w:val="24"/>
        </w:rPr>
        <w:t>③</w:t>
      </w:r>
      <w:r>
        <w:rPr>
          <w:rFonts w:hint="eastAsia" w:ascii="仿宋_GB2312" w:hAnsi="仿宋" w:eastAsia="仿宋_GB2312"/>
          <w:sz w:val="28"/>
          <w:szCs w:val="28"/>
        </w:rPr>
        <w:t>高水平论文：Nature Commun, Science Advance， JACS，</w:t>
      </w:r>
    </w:p>
    <w:p w14:paraId="6F6215C1">
      <w:pPr>
        <w:spacing w:line="440" w:lineRule="exact"/>
        <w:ind w:left="210" w:leftChars="100" w:firstLine="876" w:firstLineChars="313"/>
        <w:rPr>
          <w:rFonts w:ascii="仿宋_GB2312" w:hAnsi="仿宋" w:eastAsia="仿宋_GB2312"/>
          <w:sz w:val="28"/>
          <w:szCs w:val="28"/>
        </w:rPr>
      </w:pPr>
      <w:r>
        <w:rPr>
          <w:rFonts w:hint="eastAsia" w:ascii="仿宋_GB2312" w:hAnsi="仿宋" w:eastAsia="仿宋_GB2312"/>
          <w:sz w:val="28"/>
          <w:szCs w:val="28"/>
        </w:rPr>
        <w:t xml:space="preserve"> Angew，AM</w:t>
      </w:r>
    </w:p>
    <w:p w14:paraId="532EE169">
      <w:pPr>
        <w:spacing w:line="440" w:lineRule="exact"/>
        <w:ind w:left="210" w:leftChars="100"/>
        <w:rPr>
          <w:rFonts w:ascii="仿宋_GB2312" w:hAnsi="仿宋" w:eastAsia="仿宋_GB2312"/>
          <w:sz w:val="28"/>
          <w:szCs w:val="28"/>
        </w:rPr>
      </w:pPr>
      <w:r>
        <w:rPr>
          <w:rFonts w:hint="eastAsia" w:ascii="仿宋_GB2312" w:hAnsi="仿宋" w:eastAsia="仿宋_GB2312"/>
          <w:sz w:val="28"/>
          <w:szCs w:val="28"/>
        </w:rPr>
        <w:t xml:space="preserve">                                                       40分</w:t>
      </w:r>
    </w:p>
    <w:p w14:paraId="488A60C5">
      <w:pPr>
        <w:spacing w:line="440" w:lineRule="exact"/>
        <w:ind w:firstLine="960" w:firstLineChars="400"/>
        <w:rPr>
          <w:rFonts w:ascii="仿宋_GB2312" w:hAnsi="仿宋" w:eastAsia="仿宋_GB2312"/>
          <w:sz w:val="28"/>
          <w:szCs w:val="28"/>
        </w:rPr>
      </w:pPr>
      <w:r>
        <w:rPr>
          <w:rFonts w:ascii="Cambria Math" w:hAnsi="Cambria Math" w:eastAsia="仿宋_GB2312"/>
          <w:sz w:val="24"/>
        </w:rPr>
        <w:t>④</w:t>
      </w:r>
      <w:r>
        <w:rPr>
          <w:rFonts w:hint="eastAsia" w:ascii="仿宋_GB2312" w:hAnsi="仿宋" w:eastAsia="仿宋_GB2312"/>
          <w:sz w:val="28"/>
          <w:szCs w:val="28"/>
        </w:rPr>
        <w:t>影响力论文： PNAS 及影响因子大于20 的论文      25分</w:t>
      </w:r>
    </w:p>
    <w:p w14:paraId="7FAF476B">
      <w:pPr>
        <w:spacing w:line="440" w:lineRule="exact"/>
        <w:ind w:firstLine="960" w:firstLineChars="400"/>
        <w:rPr>
          <w:rFonts w:ascii="仿宋_GB2312" w:hAnsi="仿宋" w:eastAsia="仿宋_GB2312"/>
          <w:sz w:val="28"/>
          <w:szCs w:val="28"/>
        </w:rPr>
      </w:pPr>
      <w:r>
        <w:rPr>
          <w:rFonts w:ascii="Cambria Math" w:hAnsi="Cambria Math" w:eastAsia="仿宋_GB2312"/>
          <w:sz w:val="24"/>
        </w:rPr>
        <w:t>⑤</w:t>
      </w:r>
      <w:r>
        <w:rPr>
          <w:rFonts w:hint="eastAsia" w:ascii="仿宋_GB2312" w:hAnsi="仿宋" w:eastAsia="仿宋_GB2312"/>
          <w:sz w:val="28"/>
          <w:szCs w:val="28"/>
        </w:rPr>
        <w:t xml:space="preserve">中科院分区一区且IF≥10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hint="eastAsia" w:ascii="仿宋_GB2312" w:hAnsi="仿宋" w:eastAsia="仿宋_GB2312"/>
          <w:sz w:val="22"/>
          <w:szCs w:val="22"/>
        </w:rPr>
        <w:t xml:space="preserve"> </w:t>
      </w:r>
      <w:r>
        <w:rPr>
          <w:rFonts w:hint="eastAsia" w:ascii="仿宋_GB2312" w:hAnsi="仿宋" w:eastAsia="仿宋_GB2312"/>
          <w:sz w:val="28"/>
          <w:szCs w:val="28"/>
        </w:rPr>
        <w:t xml:space="preserve"> 15分</w:t>
      </w:r>
    </w:p>
    <w:p w14:paraId="1F838415">
      <w:pPr>
        <w:spacing w:line="440" w:lineRule="exact"/>
        <w:ind w:firstLine="960" w:firstLineChars="400"/>
        <w:rPr>
          <w:rFonts w:ascii="仿宋_GB2312" w:hAnsi="仿宋" w:eastAsia="仿宋_GB2312"/>
          <w:sz w:val="28"/>
          <w:szCs w:val="28"/>
        </w:rPr>
      </w:pPr>
      <w:r>
        <w:rPr>
          <w:rFonts w:ascii="Cambria Math" w:hAnsi="Cambria Math" w:eastAsia="仿宋_GB2312"/>
          <w:sz w:val="24"/>
        </w:rPr>
        <w:fldChar w:fldCharType="begin"/>
      </w:r>
      <w:r>
        <w:rPr>
          <w:rFonts w:ascii="Cambria Math" w:hAnsi="Cambria Math" w:eastAsia="仿宋_GB2312"/>
          <w:sz w:val="24"/>
        </w:rPr>
        <w:instrText xml:space="preserve"> = 6 \* GB3 </w:instrText>
      </w:r>
      <w:r>
        <w:rPr>
          <w:rFonts w:ascii="Cambria Math" w:hAnsi="Cambria Math" w:eastAsia="仿宋_GB2312"/>
          <w:sz w:val="24"/>
        </w:rPr>
        <w:fldChar w:fldCharType="separate"/>
      </w:r>
      <w:r>
        <w:rPr>
          <w:rFonts w:ascii="Cambria Math" w:hAnsi="Cambria Math" w:eastAsia="仿宋_GB2312"/>
          <w:sz w:val="24"/>
        </w:rPr>
        <w:t>⑥</w:t>
      </w:r>
      <w:r>
        <w:rPr>
          <w:rFonts w:ascii="Cambria Math" w:hAnsi="Cambria Math" w:eastAsia="仿宋_GB2312"/>
          <w:sz w:val="24"/>
        </w:rPr>
        <w:fldChar w:fldCharType="end"/>
      </w:r>
      <w:r>
        <w:rPr>
          <w:rFonts w:hint="eastAsia" w:ascii="仿宋_GB2312" w:hAnsi="仿宋" w:eastAsia="仿宋_GB2312"/>
          <w:sz w:val="28"/>
          <w:szCs w:val="28"/>
        </w:rPr>
        <w:t xml:space="preserve">中科院分区一区和化工三大刊中的 AIChE J、CES </w:t>
      </w:r>
      <w:r>
        <w:rPr>
          <w:rFonts w:ascii="仿宋_GB2312" w:hAnsi="仿宋" w:eastAsia="仿宋_GB2312"/>
          <w:sz w:val="28"/>
          <w:szCs w:val="28"/>
        </w:rPr>
        <w:t xml:space="preserve"> </w:t>
      </w:r>
      <w:r>
        <w:rPr>
          <w:rFonts w:hint="eastAsia" w:ascii="仿宋_GB2312" w:hAnsi="仿宋" w:eastAsia="仿宋_GB2312"/>
          <w:sz w:val="28"/>
          <w:szCs w:val="28"/>
        </w:rPr>
        <w:t xml:space="preserve">  10分</w:t>
      </w:r>
    </w:p>
    <w:p w14:paraId="2C592641">
      <w:pPr>
        <w:spacing w:line="440" w:lineRule="exact"/>
        <w:ind w:firstLine="960" w:firstLineChars="400"/>
        <w:rPr>
          <w:rFonts w:ascii="仿宋_GB2312" w:hAnsi="仿宋" w:eastAsia="仿宋_GB2312"/>
          <w:sz w:val="28"/>
          <w:szCs w:val="28"/>
        </w:rPr>
      </w:pPr>
      <w:r>
        <w:rPr>
          <w:rFonts w:ascii="Cambria Math" w:hAnsi="Cambria Math" w:eastAsia="仿宋_GB2312" w:cs="宋体"/>
          <w:sz w:val="24"/>
        </w:rPr>
        <w:t>⑦</w:t>
      </w:r>
      <w:r>
        <w:rPr>
          <w:rFonts w:hint="eastAsia" w:ascii="仿宋_GB2312" w:hAnsi="仿宋" w:eastAsia="仿宋_GB2312"/>
          <w:sz w:val="28"/>
          <w:szCs w:val="28"/>
        </w:rPr>
        <w:t xml:space="preserve">中科院分区二区且影响因子大于10的论文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7分</w:t>
      </w:r>
    </w:p>
    <w:p w14:paraId="3163133F">
      <w:pPr>
        <w:spacing w:line="440" w:lineRule="exact"/>
        <w:ind w:firstLine="960" w:firstLineChars="400"/>
        <w:rPr>
          <w:rFonts w:ascii="仿宋_GB2312" w:hAnsi="仿宋" w:eastAsia="仿宋_GB2312"/>
          <w:sz w:val="28"/>
          <w:szCs w:val="28"/>
        </w:rPr>
      </w:pPr>
      <w:r>
        <w:rPr>
          <w:rFonts w:ascii="Cambria Math" w:hAnsi="Cambria Math" w:eastAsia="仿宋_GB2312"/>
          <w:sz w:val="24"/>
        </w:rPr>
        <w:t>⑧</w:t>
      </w:r>
      <w:r>
        <w:rPr>
          <w:rFonts w:hint="eastAsia" w:ascii="仿宋_GB2312" w:hAnsi="仿宋" w:eastAsia="仿宋_GB2312"/>
          <w:sz w:val="28"/>
          <w:szCs w:val="28"/>
        </w:rPr>
        <w:t xml:space="preserve">中科院分区二区、《化工学报》、化工三大刊中的 IECR </w:t>
      </w:r>
    </w:p>
    <w:p w14:paraId="20FBC37A">
      <w:pPr>
        <w:spacing w:line="440" w:lineRule="exact"/>
        <w:ind w:firstLine="1120" w:firstLineChars="400"/>
        <w:rPr>
          <w:rFonts w:ascii="仿宋_GB2312" w:hAnsi="仿宋" w:eastAsia="仿宋_GB2312"/>
          <w:sz w:val="28"/>
          <w:szCs w:val="28"/>
        </w:rPr>
      </w:pPr>
      <w:r>
        <w:rPr>
          <w:rFonts w:ascii="仿宋_GB2312" w:hAnsi="仿宋" w:eastAsia="仿宋_GB2312"/>
          <w:sz w:val="28"/>
          <w:szCs w:val="28"/>
        </w:rPr>
        <w:t xml:space="preserve"> </w:t>
      </w:r>
      <w:r>
        <w:rPr>
          <w:rFonts w:hint="eastAsia" w:ascii="仿宋_GB2312" w:hAnsi="仿宋" w:eastAsia="仿宋_GB2312"/>
          <w:sz w:val="28"/>
          <w:szCs w:val="28"/>
        </w:rPr>
        <w:t xml:space="preserve">                                               5分</w:t>
      </w:r>
    </w:p>
    <w:p w14:paraId="67791100">
      <w:pPr>
        <w:spacing w:line="440" w:lineRule="exact"/>
        <w:ind w:left="210" w:leftChars="100" w:firstLine="720" w:firstLineChars="300"/>
        <w:rPr>
          <w:rFonts w:ascii="仿宋_GB2312" w:hAnsi="仿宋" w:eastAsia="仿宋_GB2312"/>
          <w:sz w:val="28"/>
          <w:szCs w:val="28"/>
        </w:rPr>
      </w:pPr>
      <w:r>
        <w:rPr>
          <w:rFonts w:ascii="Cambria Math" w:hAnsi="Cambria Math" w:eastAsia="仿宋_GB2312"/>
          <w:sz w:val="24"/>
        </w:rPr>
        <w:t>⑨</w:t>
      </w:r>
      <w:r>
        <w:rPr>
          <w:rFonts w:hint="eastAsia" w:ascii="仿宋_GB2312" w:hAnsi="仿宋" w:eastAsia="仿宋_GB2312"/>
          <w:sz w:val="28"/>
          <w:szCs w:val="28"/>
        </w:rPr>
        <w:t>中科院分区三区、《化工进展》、《高等学校化学工程学报》</w:t>
      </w:r>
    </w:p>
    <w:p w14:paraId="0253DC9F">
      <w:pPr>
        <w:spacing w:line="440" w:lineRule="exact"/>
        <w:ind w:left="210" w:leftChars="100" w:firstLine="7560" w:firstLineChars="2700"/>
        <w:rPr>
          <w:rFonts w:ascii="仿宋_GB2312" w:hAnsi="仿宋" w:eastAsia="仿宋_GB2312"/>
          <w:sz w:val="28"/>
          <w:szCs w:val="28"/>
        </w:rPr>
      </w:pPr>
      <w:r>
        <w:rPr>
          <w:rFonts w:hint="eastAsia" w:ascii="仿宋_GB2312" w:hAnsi="仿宋" w:eastAsia="仿宋_GB2312"/>
          <w:sz w:val="28"/>
          <w:szCs w:val="28"/>
        </w:rPr>
        <w:t>2.5分</w:t>
      </w:r>
      <w:r>
        <w:rPr>
          <w:rFonts w:hint="eastAsia" w:ascii="仿宋_GB2312" w:hAnsi="仿宋" w:eastAsia="仿宋_GB2312"/>
          <w:sz w:val="24"/>
        </w:rPr>
        <w:t xml:space="preserve"> </w:t>
      </w:r>
    </w:p>
    <w:p w14:paraId="66435FE7">
      <w:pPr>
        <w:spacing w:line="440" w:lineRule="exact"/>
        <w:ind w:firstLine="960" w:firstLineChars="400"/>
        <w:rPr>
          <w:rFonts w:ascii="仿宋_GB2312" w:hAnsi="仿宋" w:eastAsia="仿宋_GB2312"/>
          <w:sz w:val="28"/>
          <w:szCs w:val="28"/>
        </w:rPr>
      </w:pPr>
      <w:r>
        <w:rPr>
          <w:rFonts w:ascii="Cambria Math" w:hAnsi="Cambria Math" w:eastAsia="仿宋_GB2312" w:cs="Cambria Math"/>
          <w:sz w:val="24"/>
        </w:rPr>
        <w:t>⑩</w:t>
      </w:r>
      <w:r>
        <w:rPr>
          <w:rFonts w:hint="eastAsia" w:ascii="仿宋_GB2312" w:hAnsi="仿宋" w:eastAsia="仿宋_GB2312"/>
          <w:sz w:val="28"/>
          <w:szCs w:val="28"/>
        </w:rPr>
        <w:t xml:space="preserve">中科院分区四区和EI     </w:t>
      </w:r>
      <w:r>
        <w:rPr>
          <w:rFonts w:ascii="仿宋_GB2312" w:hAnsi="仿宋" w:eastAsia="仿宋_GB2312"/>
          <w:sz w:val="28"/>
          <w:szCs w:val="28"/>
        </w:rPr>
        <w:t xml:space="preserve">   </w:t>
      </w:r>
      <w:r>
        <w:rPr>
          <w:rFonts w:hint="eastAsia" w:ascii="仿宋_GB2312" w:hAnsi="仿宋" w:eastAsia="仿宋_GB2312"/>
          <w:sz w:val="28"/>
          <w:szCs w:val="28"/>
        </w:rPr>
        <w:t xml:space="preserve">     1分（学硕）/</w:t>
      </w:r>
      <w:r>
        <w:rPr>
          <w:rFonts w:ascii="仿宋_GB2312" w:hAnsi="仿宋" w:eastAsia="仿宋_GB2312"/>
          <w:sz w:val="28"/>
          <w:szCs w:val="28"/>
        </w:rPr>
        <w:t>2</w:t>
      </w:r>
      <w:r>
        <w:rPr>
          <w:rFonts w:hint="eastAsia" w:ascii="仿宋_GB2312" w:hAnsi="仿宋" w:eastAsia="仿宋_GB2312"/>
          <w:sz w:val="28"/>
          <w:szCs w:val="28"/>
        </w:rPr>
        <w:t>分（专硕）</w:t>
      </w:r>
    </w:p>
    <w:p w14:paraId="530C289E">
      <w:pPr>
        <w:spacing w:line="440" w:lineRule="exact"/>
        <w:ind w:firstLine="960" w:firstLineChars="400"/>
        <w:rPr>
          <w:rFonts w:ascii="仿宋_GB2312" w:hAnsi="仿宋" w:eastAsia="仿宋_GB2312"/>
          <w:sz w:val="28"/>
          <w:szCs w:val="28"/>
        </w:rPr>
      </w:pPr>
      <w:r>
        <w:rPr>
          <w:rFonts w:ascii="Cambria Math" w:hAnsi="Cambria Math" w:eastAsia="仿宋_GB2312" w:cs="Cambria Math"/>
          <w:sz w:val="24"/>
        </w:rPr>
        <w:t>⑪</w:t>
      </w:r>
      <w:r>
        <w:rPr>
          <w:rFonts w:hint="eastAsia" w:ascii="仿宋_GB2312" w:hAnsi="仿宋" w:eastAsia="仿宋_GB2312"/>
          <w:sz w:val="28"/>
          <w:szCs w:val="28"/>
        </w:rPr>
        <w:t xml:space="preserve">核心期刊                                 </w:t>
      </w:r>
      <w:r>
        <w:rPr>
          <w:rFonts w:ascii="仿宋_GB2312" w:hAnsi="仿宋" w:eastAsia="仿宋_GB2312"/>
          <w:sz w:val="28"/>
          <w:szCs w:val="28"/>
        </w:rPr>
        <w:t>1</w:t>
      </w:r>
      <w:r>
        <w:rPr>
          <w:rFonts w:hint="eastAsia" w:ascii="仿宋_GB2312" w:hAnsi="仿宋" w:eastAsia="仿宋_GB2312"/>
          <w:sz w:val="28"/>
          <w:szCs w:val="28"/>
        </w:rPr>
        <w:t>分（仅专硕）</w:t>
      </w:r>
    </w:p>
    <w:p w14:paraId="0F56C7C7">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（2）专利</w:t>
      </w:r>
    </w:p>
    <w:p w14:paraId="0F3ADDCF">
      <w:pPr>
        <w:spacing w:line="440" w:lineRule="exact"/>
        <w:ind w:firstLine="1134" w:firstLineChars="405"/>
        <w:rPr>
          <w:rFonts w:ascii="仿宋_GB2312" w:hAnsi="仿宋" w:eastAsia="仿宋_GB2312"/>
          <w:sz w:val="28"/>
          <w:szCs w:val="28"/>
        </w:rPr>
      </w:pPr>
      <w:r>
        <w:rPr>
          <w:rFonts w:hint="eastAsia" w:ascii="仿宋_GB2312" w:hAnsi="仿宋" w:eastAsia="仿宋_GB2312"/>
          <w:sz w:val="28"/>
          <w:szCs w:val="28"/>
        </w:rPr>
        <w:t xml:space="preserve">授权发明专利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2</w:t>
      </w:r>
      <w:r>
        <w:rPr>
          <w:rFonts w:hint="eastAsia" w:ascii="仿宋_GB2312" w:hAnsi="仿宋" w:eastAsia="仿宋_GB2312"/>
          <w:sz w:val="28"/>
          <w:szCs w:val="28"/>
        </w:rPr>
        <w:t>分</w:t>
      </w:r>
    </w:p>
    <w:p w14:paraId="605C10BC">
      <w:pPr>
        <w:spacing w:line="440" w:lineRule="exact"/>
        <w:ind w:firstLine="1134" w:firstLineChars="405"/>
        <w:rPr>
          <w:rFonts w:ascii="仿宋_GB2312" w:hAnsi="仿宋" w:eastAsia="仿宋_GB2312"/>
          <w:sz w:val="28"/>
          <w:szCs w:val="28"/>
        </w:rPr>
      </w:pPr>
      <w:r>
        <w:rPr>
          <w:rFonts w:hint="eastAsia" w:ascii="仿宋_GB2312" w:hAnsi="仿宋" w:eastAsia="仿宋_GB2312"/>
          <w:sz w:val="28"/>
          <w:szCs w:val="28"/>
        </w:rPr>
        <w:t xml:space="preserve">实用新型专利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1.5</w:t>
      </w:r>
      <w:r>
        <w:rPr>
          <w:rFonts w:hint="eastAsia" w:ascii="仿宋_GB2312" w:hAnsi="仿宋" w:eastAsia="仿宋_GB2312"/>
          <w:sz w:val="28"/>
          <w:szCs w:val="28"/>
        </w:rPr>
        <w:t>分（</w:t>
      </w:r>
      <w:bookmarkStart w:id="1" w:name="OLE_LINK5"/>
      <w:r>
        <w:rPr>
          <w:rFonts w:hint="eastAsia" w:ascii="仿宋_GB2312" w:hAnsi="仿宋" w:eastAsia="仿宋_GB2312"/>
          <w:sz w:val="28"/>
          <w:szCs w:val="28"/>
        </w:rPr>
        <w:t>仅专</w:t>
      </w:r>
      <w:bookmarkEnd w:id="1"/>
      <w:r>
        <w:rPr>
          <w:rFonts w:hint="eastAsia" w:ascii="仿宋_GB2312" w:hAnsi="仿宋" w:eastAsia="仿宋_GB2312"/>
          <w:sz w:val="28"/>
          <w:szCs w:val="28"/>
        </w:rPr>
        <w:t>硕）</w:t>
      </w:r>
    </w:p>
    <w:p w14:paraId="46FAE186">
      <w:pPr>
        <w:spacing w:line="440" w:lineRule="exact"/>
        <w:ind w:firstLine="555"/>
        <w:rPr>
          <w:rFonts w:ascii="仿宋_GB2312" w:hAnsi="仿宋" w:eastAsia="仿宋_GB2312"/>
          <w:sz w:val="28"/>
          <w:szCs w:val="28"/>
        </w:rPr>
      </w:pPr>
      <w:r>
        <w:rPr>
          <w:rFonts w:hint="eastAsia" w:ascii="仿宋_GB2312" w:hAnsi="仿宋" w:eastAsia="仿宋_GB2312"/>
          <w:sz w:val="28"/>
          <w:szCs w:val="28"/>
        </w:rPr>
        <w:t xml:space="preserve">（3）河北省研究生创新资助项目   </w:t>
      </w:r>
      <w:r>
        <w:rPr>
          <w:rFonts w:ascii="仿宋_GB2312" w:hAnsi="仿宋" w:eastAsia="仿宋_GB2312"/>
          <w:sz w:val="28"/>
          <w:szCs w:val="28"/>
        </w:rPr>
        <w:t xml:space="preserve">          </w:t>
      </w:r>
      <w:r>
        <w:rPr>
          <w:rFonts w:hint="eastAsia" w:ascii="仿宋_GB2312" w:hAnsi="仿宋" w:eastAsia="仿宋_GB2312"/>
          <w:sz w:val="28"/>
          <w:szCs w:val="28"/>
        </w:rPr>
        <w:t xml:space="preserve"> 10分</w:t>
      </w:r>
    </w:p>
    <w:p w14:paraId="570F7264">
      <w:pPr>
        <w:spacing w:line="440" w:lineRule="exact"/>
        <w:ind w:firstLine="555"/>
        <w:rPr>
          <w:rFonts w:ascii="仿宋_GB2312" w:hAnsi="仿宋" w:eastAsia="仿宋_GB2312"/>
          <w:sz w:val="28"/>
          <w:szCs w:val="28"/>
        </w:rPr>
      </w:pPr>
      <w:r>
        <w:rPr>
          <w:rFonts w:hint="eastAsia" w:ascii="仿宋_GB2312" w:hAnsi="仿宋" w:eastAsia="仿宋_GB2312"/>
          <w:sz w:val="28"/>
          <w:szCs w:val="28"/>
        </w:rPr>
        <w:t>（4）中国科协青年人才托举工程              10分</w:t>
      </w:r>
    </w:p>
    <w:p w14:paraId="21AABABB">
      <w:pPr>
        <w:spacing w:line="440" w:lineRule="exact"/>
        <w:ind w:firstLine="555"/>
        <w:rPr>
          <w:rFonts w:ascii="仿宋_GB2312" w:hAnsi="仿宋" w:eastAsia="仿宋_GB2312"/>
          <w:sz w:val="28"/>
          <w:szCs w:val="28"/>
        </w:rPr>
      </w:pPr>
      <w:r>
        <w:rPr>
          <w:rFonts w:hint="eastAsia" w:ascii="仿宋_GB2312" w:hAnsi="仿宋" w:eastAsia="仿宋_GB2312"/>
          <w:sz w:val="28"/>
          <w:szCs w:val="28"/>
        </w:rPr>
        <w:t>*所有涉及到论文分区均为发表当时中科院大类分区，涉及到期刊影响因子均为发表当时的影响因子。参与科研项目情况可以列出，但不记分。未入学提交论文入学后发表的，不记分。论文、专利第一署名单位需为河北工业大学，以下情况计入分数：</w:t>
      </w:r>
      <w:r>
        <w:rPr>
          <w:rFonts w:hint="eastAsia" w:ascii="仿宋_GB2312" w:hAnsi="宋体" w:eastAsia="仿宋_GB2312" w:cs="宋体"/>
          <w:sz w:val="28"/>
          <w:szCs w:val="28"/>
        </w:rPr>
        <w:t>①</w:t>
      </w:r>
      <w:r>
        <w:rPr>
          <w:rFonts w:hint="eastAsia" w:ascii="仿宋_GB2312" w:hAnsi="仿宋" w:eastAsia="仿宋_GB2312"/>
          <w:sz w:val="28"/>
          <w:szCs w:val="28"/>
        </w:rPr>
        <w:t>研究生为第一作者；②导师一作学生二作；③共同作者中排名第一位。</w:t>
      </w:r>
    </w:p>
    <w:p w14:paraId="20CF7925">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5、社会活动</w:t>
      </w:r>
    </w:p>
    <w:p w14:paraId="52673796">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（1）学生工作</w:t>
      </w:r>
    </w:p>
    <w:p w14:paraId="5CCC69B4">
      <w:pPr>
        <w:spacing w:line="440" w:lineRule="exact"/>
        <w:ind w:firstLine="840" w:firstLineChars="300"/>
        <w:rPr>
          <w:rFonts w:ascii="仿宋_GB2312" w:hAnsi="仿宋" w:eastAsia="仿宋_GB2312"/>
          <w:sz w:val="28"/>
          <w:szCs w:val="28"/>
        </w:rPr>
      </w:pPr>
      <w:r>
        <w:rPr>
          <w:rFonts w:hint="eastAsia" w:ascii="仿宋_GB2312" w:hAnsi="宋体" w:eastAsia="仿宋_GB2312" w:cs="宋体"/>
          <w:sz w:val="28"/>
          <w:szCs w:val="28"/>
        </w:rPr>
        <w:t>①</w:t>
      </w:r>
      <w:r>
        <w:rPr>
          <w:rFonts w:hint="eastAsia" w:ascii="仿宋_GB2312" w:hAnsi="仿宋" w:eastAsia="仿宋_GB2312"/>
          <w:sz w:val="28"/>
          <w:szCs w:val="28"/>
        </w:rPr>
        <w:t>年级负责人、班长、团支书、党支部书记       2分</w:t>
      </w:r>
    </w:p>
    <w:p w14:paraId="29001408">
      <w:pPr>
        <w:spacing w:line="440" w:lineRule="exact"/>
        <w:ind w:firstLine="1120" w:firstLineChars="400"/>
        <w:rPr>
          <w:rFonts w:ascii="仿宋_GB2312" w:hAnsi="仿宋" w:eastAsia="仿宋_GB2312"/>
          <w:sz w:val="28"/>
          <w:szCs w:val="28"/>
        </w:rPr>
      </w:pPr>
      <w:r>
        <w:rPr>
          <w:rFonts w:hint="eastAsia" w:ascii="仿宋_GB2312" w:hAnsi="仿宋" w:eastAsia="仿宋_GB2312"/>
          <w:sz w:val="28"/>
          <w:szCs w:val="28"/>
        </w:rPr>
        <w:t xml:space="preserve">班委、支委                                 1分 </w:t>
      </w:r>
    </w:p>
    <w:p w14:paraId="030D3121">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 xml:space="preserve">②校院研究生会主席、副主席、部长             2分 </w:t>
      </w:r>
    </w:p>
    <w:p w14:paraId="2C2277A3">
      <w:pPr>
        <w:spacing w:line="440" w:lineRule="exact"/>
        <w:ind w:firstLine="1120" w:firstLineChars="400"/>
        <w:rPr>
          <w:rFonts w:ascii="仿宋_GB2312" w:hAnsi="仿宋" w:eastAsia="仿宋_GB2312"/>
          <w:sz w:val="28"/>
          <w:szCs w:val="28"/>
        </w:rPr>
      </w:pPr>
      <w:r>
        <w:rPr>
          <w:rFonts w:hint="eastAsia" w:ascii="仿宋_GB2312" w:hAnsi="仿宋" w:eastAsia="仿宋_GB2312"/>
          <w:sz w:val="28"/>
          <w:szCs w:val="28"/>
        </w:rPr>
        <w:t xml:space="preserve">校院研究生会副部长及部员                   1分 </w:t>
      </w:r>
    </w:p>
    <w:p w14:paraId="415467FB">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w:t>
      </w:r>
      <w:r>
        <w:rPr>
          <w:rFonts w:hint="eastAsia" w:ascii="仿宋_GB2312" w:hAnsi="宋体" w:eastAsia="仿宋_GB2312" w:cs="宋体"/>
          <w:sz w:val="28"/>
          <w:szCs w:val="28"/>
        </w:rPr>
        <w:t>①</w:t>
      </w:r>
      <w:r>
        <w:rPr>
          <w:rFonts w:hint="eastAsia" w:ascii="仿宋_GB2312" w:hAnsi="仿宋" w:eastAsia="仿宋_GB2312"/>
          <w:sz w:val="28"/>
          <w:szCs w:val="28"/>
        </w:rPr>
        <w:t>、②两项可累计加分，总和不超过４分。 以上所有学生干部要求任职时间应为1年及以上；如工作上不负责任，则取消相应加分。</w:t>
      </w:r>
    </w:p>
    <w:p w14:paraId="5E25E8C4">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（2）志愿服务</w:t>
      </w:r>
    </w:p>
    <w:p w14:paraId="6F5F8636">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志愿服务分=2+（志愿时长-20）×0.0</w:t>
      </w:r>
      <w:r>
        <w:rPr>
          <w:rFonts w:ascii="仿宋_GB2312" w:hAnsi="仿宋" w:eastAsia="仿宋_GB2312"/>
          <w:sz w:val="28"/>
          <w:szCs w:val="28"/>
        </w:rPr>
        <w:t>5</w:t>
      </w:r>
    </w:p>
    <w:p w14:paraId="3EACABBF">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*志愿时长指参与学院发布或转发的各类志愿活动获得的志愿时长。若同一志愿活动重复计入志愿时长，按一次志愿活动计算，时长按较高的计入。志愿时长小于20小时此项不加分。志愿服务分最高加4分</w:t>
      </w:r>
    </w:p>
    <w:p w14:paraId="0145880C">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w:t>
      </w:r>
      <w:r>
        <w:rPr>
          <w:rFonts w:ascii="仿宋_GB2312" w:hAnsi="仿宋" w:eastAsia="仿宋_GB2312"/>
          <w:sz w:val="28"/>
          <w:szCs w:val="28"/>
        </w:rPr>
        <w:t>3</w:t>
      </w:r>
      <w:r>
        <w:rPr>
          <w:rFonts w:hint="eastAsia" w:ascii="仿宋_GB2312" w:hAnsi="仿宋" w:eastAsia="仿宋_GB2312"/>
          <w:sz w:val="28"/>
          <w:szCs w:val="28"/>
        </w:rPr>
        <w:t>）荣誉奖励</w:t>
      </w:r>
    </w:p>
    <w:p w14:paraId="6380D6AD">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 xml:space="preserve">国家级荣誉称号        </w:t>
      </w:r>
      <w:r>
        <w:rPr>
          <w:rFonts w:hint="eastAsia" w:ascii="仿宋_GB2312" w:hAnsi="仿宋" w:eastAsia="仿宋_GB2312"/>
          <w:sz w:val="30"/>
          <w:szCs w:val="30"/>
        </w:rPr>
        <w:t xml:space="preserve">   </w:t>
      </w:r>
      <w:r>
        <w:rPr>
          <w:rFonts w:hint="eastAsia" w:ascii="仿宋_GB2312" w:hAnsi="仿宋" w:eastAsia="仿宋_GB2312"/>
          <w:sz w:val="15"/>
          <w:szCs w:val="15"/>
        </w:rPr>
        <w:t xml:space="preserve"> </w:t>
      </w:r>
      <w:r>
        <w:rPr>
          <w:rFonts w:hint="eastAsia" w:ascii="仿宋_GB2312" w:hAnsi="仿宋" w:eastAsia="仿宋_GB2312"/>
          <w:sz w:val="28"/>
          <w:szCs w:val="28"/>
        </w:rPr>
        <w:t>15分</w:t>
      </w:r>
    </w:p>
    <w:p w14:paraId="60B88C07">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 xml:space="preserve">省级荣誉称号 </w:t>
      </w:r>
      <w:r>
        <w:rPr>
          <w:rFonts w:ascii="仿宋_GB2312" w:hAnsi="仿宋" w:eastAsia="仿宋_GB2312"/>
          <w:sz w:val="28"/>
          <w:szCs w:val="28"/>
        </w:rPr>
        <w:t xml:space="preserve">             6</w:t>
      </w:r>
      <w:r>
        <w:rPr>
          <w:rFonts w:hint="eastAsia" w:ascii="仿宋_GB2312" w:hAnsi="仿宋" w:eastAsia="仿宋_GB2312"/>
          <w:sz w:val="28"/>
          <w:szCs w:val="28"/>
        </w:rPr>
        <w:t>分</w:t>
      </w:r>
    </w:p>
    <w:p w14:paraId="22E0E467">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 xml:space="preserve">校级荣誉称号 </w:t>
      </w:r>
      <w:r>
        <w:rPr>
          <w:rFonts w:ascii="仿宋_GB2312" w:hAnsi="仿宋" w:eastAsia="仿宋_GB2312"/>
          <w:sz w:val="28"/>
          <w:szCs w:val="28"/>
        </w:rPr>
        <w:t xml:space="preserve">             2</w:t>
      </w:r>
      <w:r>
        <w:rPr>
          <w:rFonts w:hint="eastAsia" w:ascii="仿宋_GB2312" w:hAnsi="仿宋" w:eastAsia="仿宋_GB2312"/>
          <w:sz w:val="28"/>
          <w:szCs w:val="28"/>
        </w:rPr>
        <w:t>分</w:t>
      </w:r>
    </w:p>
    <w:p w14:paraId="28A70090">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 xml:space="preserve">院级荣誉称号 </w:t>
      </w:r>
      <w:r>
        <w:rPr>
          <w:rFonts w:ascii="仿宋_GB2312" w:hAnsi="仿宋" w:eastAsia="仿宋_GB2312"/>
          <w:sz w:val="28"/>
          <w:szCs w:val="28"/>
        </w:rPr>
        <w:t xml:space="preserve">             1</w:t>
      </w:r>
      <w:r>
        <w:rPr>
          <w:rFonts w:hint="eastAsia" w:ascii="仿宋_GB2312" w:hAnsi="仿宋" w:eastAsia="仿宋_GB2312"/>
          <w:sz w:val="28"/>
          <w:szCs w:val="28"/>
        </w:rPr>
        <w:t>分</w:t>
      </w:r>
    </w:p>
    <w:p w14:paraId="29CD502F">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*不同等级同一荣誉称号不重复加分以最高为准。校级及以上团体荣誉所有成员均可加分，院级团体荣誉不加分。院校两级荣誉总分最高加</w:t>
      </w:r>
      <w:r>
        <w:rPr>
          <w:rFonts w:ascii="仿宋_GB2312" w:hAnsi="仿宋" w:eastAsia="仿宋_GB2312"/>
          <w:sz w:val="28"/>
          <w:szCs w:val="28"/>
        </w:rPr>
        <w:t>4</w:t>
      </w:r>
      <w:r>
        <w:rPr>
          <w:rFonts w:hint="eastAsia" w:ascii="仿宋_GB2312" w:hAnsi="仿宋" w:eastAsia="仿宋_GB2312"/>
          <w:sz w:val="28"/>
          <w:szCs w:val="28"/>
        </w:rPr>
        <w:t>分</w:t>
      </w:r>
    </w:p>
    <w:p w14:paraId="4489D392">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w:t>
      </w:r>
      <w:r>
        <w:rPr>
          <w:rFonts w:ascii="仿宋_GB2312" w:hAnsi="仿宋" w:eastAsia="仿宋_GB2312"/>
          <w:sz w:val="28"/>
          <w:szCs w:val="28"/>
        </w:rPr>
        <w:t>4</w:t>
      </w:r>
      <w:r>
        <w:rPr>
          <w:rFonts w:hint="eastAsia" w:ascii="仿宋_GB2312" w:hAnsi="仿宋" w:eastAsia="仿宋_GB2312"/>
          <w:sz w:val="28"/>
          <w:szCs w:val="28"/>
        </w:rPr>
        <w:t>）文体活动</w:t>
      </w:r>
    </w:p>
    <w:p w14:paraId="7686603A">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国家级奖励</w:t>
      </w:r>
    </w:p>
    <w:p w14:paraId="1C268942">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 xml:space="preserve">一等奖或前三名        </w:t>
      </w:r>
      <w:r>
        <w:rPr>
          <w:rFonts w:hint="eastAsia" w:ascii="仿宋_GB2312" w:hAnsi="仿宋" w:eastAsia="仿宋_GB2312"/>
          <w:sz w:val="30"/>
          <w:szCs w:val="30"/>
        </w:rPr>
        <w:t xml:space="preserve">   </w:t>
      </w:r>
      <w:r>
        <w:rPr>
          <w:rFonts w:hint="eastAsia" w:ascii="仿宋_GB2312" w:hAnsi="仿宋" w:eastAsia="仿宋_GB2312"/>
          <w:sz w:val="15"/>
          <w:szCs w:val="15"/>
        </w:rPr>
        <w:t xml:space="preserve"> </w:t>
      </w:r>
      <w:r>
        <w:rPr>
          <w:rFonts w:hint="eastAsia" w:ascii="仿宋_GB2312" w:hAnsi="仿宋" w:eastAsia="仿宋_GB2312"/>
          <w:sz w:val="28"/>
          <w:szCs w:val="28"/>
        </w:rPr>
        <w:t>15分</w:t>
      </w:r>
    </w:p>
    <w:p w14:paraId="0D6C69F1">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二等奖或前五名            10分</w:t>
      </w:r>
    </w:p>
    <w:p w14:paraId="13290889">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三等奖或前十名            7分</w:t>
      </w:r>
    </w:p>
    <w:p w14:paraId="28393C46">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省市级奖励</w:t>
      </w:r>
    </w:p>
    <w:p w14:paraId="36CA0E5D">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一等奖或前三名            6分</w:t>
      </w:r>
    </w:p>
    <w:p w14:paraId="0095E3D3">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二等奖或前五名            4分</w:t>
      </w:r>
    </w:p>
    <w:p w14:paraId="1151C78F">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三等奖或前八名            3分</w:t>
      </w:r>
    </w:p>
    <w:p w14:paraId="09616B61">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校级奖励</w:t>
      </w:r>
    </w:p>
    <w:p w14:paraId="79613094">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一等奖或第一名            2分</w:t>
      </w:r>
    </w:p>
    <w:p w14:paraId="20919923">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二等奖或第二名            1.5分</w:t>
      </w:r>
    </w:p>
    <w:p w14:paraId="0CAC9D39">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三等奖或第三名            1分</w:t>
      </w:r>
    </w:p>
    <w:p w14:paraId="55184E73">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院级奖励</w:t>
      </w:r>
    </w:p>
    <w:p w14:paraId="20867B34">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一等奖或第一名            1分</w:t>
      </w:r>
    </w:p>
    <w:p w14:paraId="6231432B">
      <w:pPr>
        <w:spacing w:line="440" w:lineRule="exact"/>
        <w:ind w:firstLine="2550" w:firstLineChars="911"/>
        <w:rPr>
          <w:rFonts w:ascii="仿宋_GB2312" w:hAnsi="仿宋" w:eastAsia="仿宋_GB2312"/>
          <w:sz w:val="28"/>
          <w:szCs w:val="28"/>
        </w:rPr>
      </w:pPr>
      <w:r>
        <w:rPr>
          <w:rFonts w:hint="eastAsia" w:ascii="仿宋_GB2312" w:hAnsi="仿宋" w:eastAsia="仿宋_GB2312"/>
          <w:sz w:val="28"/>
          <w:szCs w:val="28"/>
        </w:rPr>
        <w:t>其他奖项或排名            0.5分</w:t>
      </w:r>
    </w:p>
    <w:p w14:paraId="16EABB30">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参加院级及以上活动但未获奖            0.2分</w:t>
      </w:r>
    </w:p>
    <w:p w14:paraId="5B4B6BC2">
      <w:pPr>
        <w:widowControl/>
        <w:ind w:firstLine="729" w:firstLineChars="304"/>
        <w:jc w:val="left"/>
        <w:rPr>
          <w:rFonts w:ascii="仿宋_GB2312" w:hAnsi="楷体_GB2312" w:eastAsia="仿宋_GB2312" w:cs="楷体_GB2312"/>
          <w:sz w:val="24"/>
          <w:szCs w:val="32"/>
        </w:rPr>
      </w:pPr>
      <w:r>
        <w:rPr>
          <w:rFonts w:hint="eastAsia" w:ascii="仿宋_GB2312" w:hAnsi="楷体_GB2312" w:eastAsia="仿宋_GB2312" w:cs="楷体_GB2312"/>
          <w:sz w:val="24"/>
          <w:szCs w:val="32"/>
        </w:rPr>
        <w:t>注：院级活动指经学院团委、党委审批同意的活动，具体以学院发布的通知为准。</w:t>
      </w:r>
    </w:p>
    <w:p w14:paraId="461BEFDD">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6、学术科技竞赛</w:t>
      </w:r>
    </w:p>
    <w:p w14:paraId="38CDB971">
      <w:pPr>
        <w:spacing w:line="440" w:lineRule="exact"/>
        <w:ind w:firstLine="980" w:firstLineChars="350"/>
        <w:rPr>
          <w:rFonts w:ascii="仿宋_GB2312" w:hAnsi="仿宋" w:eastAsia="仿宋_GB2312"/>
          <w:sz w:val="28"/>
          <w:szCs w:val="28"/>
        </w:rPr>
      </w:pPr>
      <w:bookmarkStart w:id="2" w:name="_Hlk155685910"/>
      <w:r>
        <w:rPr>
          <w:rFonts w:hint="eastAsia" w:ascii="仿宋_GB2312" w:hAnsi="仿宋" w:eastAsia="仿宋_GB2312"/>
          <w:sz w:val="28"/>
          <w:szCs w:val="28"/>
        </w:rPr>
        <w:t>国家级竞赛</w:t>
      </w:r>
    </w:p>
    <w:p w14:paraId="474FFAD1">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一等奖        </w:t>
      </w:r>
      <w:r>
        <w:rPr>
          <w:rFonts w:hint="eastAsia" w:ascii="仿宋_GB2312" w:hAnsi="仿宋" w:eastAsia="仿宋_GB2312"/>
          <w:sz w:val="30"/>
          <w:szCs w:val="30"/>
        </w:rPr>
        <w:t xml:space="preserve">   </w:t>
      </w:r>
      <w:r>
        <w:rPr>
          <w:rFonts w:hint="eastAsia" w:ascii="仿宋_GB2312" w:hAnsi="仿宋" w:eastAsia="仿宋_GB2312"/>
          <w:sz w:val="15"/>
          <w:szCs w:val="15"/>
        </w:rPr>
        <w:t xml:space="preserve"> </w:t>
      </w:r>
      <w:r>
        <w:rPr>
          <w:rFonts w:ascii="仿宋_GB2312" w:hAnsi="仿宋" w:eastAsia="仿宋_GB2312"/>
          <w:sz w:val="28"/>
          <w:szCs w:val="28"/>
        </w:rPr>
        <w:t>80</w:t>
      </w:r>
      <w:r>
        <w:rPr>
          <w:rFonts w:hint="eastAsia" w:ascii="仿宋_GB2312" w:hAnsi="仿宋" w:eastAsia="仿宋_GB2312"/>
          <w:sz w:val="28"/>
          <w:szCs w:val="28"/>
        </w:rPr>
        <w:t>分</w:t>
      </w:r>
    </w:p>
    <w:p w14:paraId="62560ACD">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二等奖        </w:t>
      </w:r>
      <w:r>
        <w:rPr>
          <w:rFonts w:hint="eastAsia" w:ascii="仿宋_GB2312" w:hAnsi="仿宋" w:eastAsia="仿宋_GB2312"/>
          <w:sz w:val="30"/>
          <w:szCs w:val="30"/>
        </w:rPr>
        <w:t xml:space="preserve">  </w:t>
      </w:r>
      <w:r>
        <w:rPr>
          <w:rFonts w:hint="eastAsia" w:ascii="仿宋_GB2312" w:hAnsi="仿宋" w:eastAsia="仿宋_GB2312"/>
          <w:sz w:val="44"/>
          <w:szCs w:val="44"/>
        </w:rPr>
        <w:t xml:space="preserve"> </w:t>
      </w:r>
      <w:r>
        <w:rPr>
          <w:rFonts w:ascii="仿宋_GB2312" w:hAnsi="仿宋" w:eastAsia="仿宋_GB2312"/>
          <w:sz w:val="28"/>
          <w:szCs w:val="28"/>
        </w:rPr>
        <w:t>1</w:t>
      </w:r>
      <w:r>
        <w:rPr>
          <w:rFonts w:hint="eastAsia" w:ascii="仿宋_GB2312" w:hAnsi="仿宋" w:eastAsia="仿宋_GB2312"/>
          <w:sz w:val="28"/>
          <w:szCs w:val="28"/>
        </w:rPr>
        <w:t>3分</w:t>
      </w:r>
    </w:p>
    <w:p w14:paraId="19E94360">
      <w:pPr>
        <w:spacing w:line="440" w:lineRule="exact"/>
        <w:ind w:firstLine="560" w:firstLineChars="200"/>
        <w:rPr>
          <w:rFonts w:ascii="仿宋_GB2312" w:hAnsi="Helvetica" w:eastAsia="仿宋_GB2312" w:cs="Helvetica"/>
          <w:b/>
          <w:kern w:val="0"/>
          <w:sz w:val="28"/>
          <w:szCs w:val="32"/>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三等奖         </w:t>
      </w:r>
      <w:r>
        <w:rPr>
          <w:rFonts w:hint="eastAsia" w:ascii="仿宋_GB2312" w:hAnsi="仿宋" w:eastAsia="仿宋_GB2312"/>
          <w:sz w:val="30"/>
          <w:szCs w:val="30"/>
        </w:rPr>
        <w:t xml:space="preserve"> </w:t>
      </w:r>
      <w:r>
        <w:rPr>
          <w:rFonts w:ascii="仿宋_GB2312" w:hAnsi="仿宋" w:eastAsia="仿宋_GB2312"/>
          <w:sz w:val="44"/>
          <w:szCs w:val="44"/>
        </w:rPr>
        <w:t xml:space="preserve"> </w:t>
      </w:r>
      <w:r>
        <w:rPr>
          <w:rFonts w:hint="eastAsia" w:ascii="仿宋_GB2312" w:hAnsi="仿宋" w:eastAsia="仿宋_GB2312"/>
          <w:sz w:val="28"/>
          <w:szCs w:val="28"/>
        </w:rPr>
        <w:t xml:space="preserve">9分 </w:t>
      </w:r>
    </w:p>
    <w:p w14:paraId="24CA78BE">
      <w:pPr>
        <w:widowControl/>
        <w:ind w:firstLine="1131" w:firstLineChars="404"/>
        <w:jc w:val="left"/>
        <w:rPr>
          <w:rFonts w:ascii="仿宋_GB2312" w:hAnsi="仿宋" w:eastAsia="仿宋_GB2312"/>
          <w:sz w:val="28"/>
          <w:szCs w:val="28"/>
        </w:rPr>
      </w:pPr>
      <w:r>
        <w:rPr>
          <w:rFonts w:hint="eastAsia" w:ascii="仿宋_GB2312" w:hAnsi="仿宋" w:eastAsia="仿宋_GB2312"/>
          <w:sz w:val="28"/>
          <w:szCs w:val="28"/>
        </w:rPr>
        <w:t>省市级竞赛</w:t>
      </w:r>
    </w:p>
    <w:p w14:paraId="0686D3B7">
      <w:pPr>
        <w:spacing w:line="440" w:lineRule="exact"/>
        <w:ind w:firstLine="840" w:firstLineChars="300"/>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一等奖        </w:t>
      </w:r>
      <w:r>
        <w:rPr>
          <w:rFonts w:hint="eastAsia" w:ascii="仿宋_GB2312" w:hAnsi="仿宋" w:eastAsia="仿宋_GB2312"/>
          <w:sz w:val="36"/>
          <w:szCs w:val="36"/>
        </w:rPr>
        <w:t xml:space="preserve">   </w:t>
      </w:r>
      <w:r>
        <w:rPr>
          <w:rFonts w:hint="eastAsia" w:ascii="仿宋_GB2312" w:hAnsi="仿宋" w:eastAsia="仿宋_GB2312"/>
          <w:sz w:val="28"/>
          <w:szCs w:val="28"/>
        </w:rPr>
        <w:t>6分</w:t>
      </w:r>
    </w:p>
    <w:p w14:paraId="7D74B9EA">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二等奖      </w:t>
      </w:r>
      <w:r>
        <w:rPr>
          <w:rFonts w:hint="eastAsia" w:ascii="仿宋_GB2312" w:hAnsi="仿宋" w:eastAsia="仿宋_GB2312"/>
          <w:sz w:val="32"/>
          <w:szCs w:val="32"/>
        </w:rPr>
        <w:t xml:space="preserve">    </w:t>
      </w:r>
      <w:r>
        <w:rPr>
          <w:rFonts w:hint="eastAsia" w:ascii="仿宋_GB2312" w:hAnsi="仿宋" w:eastAsia="仿宋_GB2312"/>
          <w:sz w:val="44"/>
          <w:szCs w:val="44"/>
        </w:rPr>
        <w:t xml:space="preserve"> </w:t>
      </w:r>
      <w:r>
        <w:rPr>
          <w:rFonts w:hint="eastAsia" w:ascii="仿宋_GB2312" w:hAnsi="仿宋" w:eastAsia="仿宋_GB2312"/>
          <w:sz w:val="28"/>
          <w:szCs w:val="28"/>
        </w:rPr>
        <w:t xml:space="preserve">4分 </w:t>
      </w:r>
    </w:p>
    <w:p w14:paraId="020D4D2F">
      <w:pPr>
        <w:spacing w:line="440" w:lineRule="exact"/>
        <w:ind w:firstLine="560" w:firstLineChars="200"/>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三等奖       </w:t>
      </w:r>
      <w:r>
        <w:rPr>
          <w:rFonts w:hint="eastAsia" w:ascii="仿宋_GB2312" w:hAnsi="仿宋" w:eastAsia="仿宋_GB2312"/>
          <w:sz w:val="36"/>
          <w:szCs w:val="36"/>
        </w:rPr>
        <w:t xml:space="preserve">    </w:t>
      </w:r>
      <w:r>
        <w:rPr>
          <w:rFonts w:hint="eastAsia" w:ascii="仿宋_GB2312" w:hAnsi="仿宋" w:eastAsia="仿宋_GB2312"/>
          <w:sz w:val="28"/>
          <w:szCs w:val="28"/>
        </w:rPr>
        <w:t xml:space="preserve">3分 </w:t>
      </w:r>
    </w:p>
    <w:p w14:paraId="5356AB43">
      <w:pPr>
        <w:spacing w:line="440" w:lineRule="exact"/>
        <w:ind w:firstLine="1260" w:firstLineChars="450"/>
        <w:rPr>
          <w:rFonts w:ascii="仿宋_GB2312" w:hAnsi="仿宋" w:eastAsia="仿宋_GB2312"/>
          <w:sz w:val="28"/>
          <w:szCs w:val="28"/>
        </w:rPr>
      </w:pPr>
      <w:r>
        <w:rPr>
          <w:rFonts w:hint="eastAsia" w:ascii="仿宋_GB2312" w:hAnsi="仿宋" w:eastAsia="仿宋_GB2312"/>
          <w:sz w:val="28"/>
          <w:szCs w:val="28"/>
        </w:rPr>
        <w:t>厅局级竞赛</w:t>
      </w:r>
    </w:p>
    <w:p w14:paraId="3EF5031B">
      <w:pPr>
        <w:spacing w:line="440" w:lineRule="exact"/>
        <w:ind w:firstLine="2660" w:firstLineChars="950"/>
        <w:rPr>
          <w:rFonts w:ascii="仿宋_GB2312" w:hAnsi="仿宋" w:eastAsia="仿宋_GB2312"/>
          <w:sz w:val="28"/>
          <w:szCs w:val="28"/>
        </w:rPr>
      </w:pPr>
      <w:r>
        <w:rPr>
          <w:rFonts w:hint="eastAsia" w:ascii="仿宋_GB2312" w:hAnsi="仿宋" w:eastAsia="仿宋_GB2312"/>
          <w:sz w:val="28"/>
          <w:szCs w:val="28"/>
        </w:rPr>
        <w:t xml:space="preserve">一等奖       </w:t>
      </w:r>
      <w:r>
        <w:rPr>
          <w:rFonts w:hint="eastAsia" w:ascii="仿宋_GB2312" w:hAnsi="仿宋" w:eastAsia="仿宋_GB2312"/>
          <w:sz w:val="36"/>
          <w:szCs w:val="36"/>
        </w:rPr>
        <w:t xml:space="preserve">    </w:t>
      </w:r>
      <w:r>
        <w:rPr>
          <w:rFonts w:hint="eastAsia" w:ascii="仿宋_GB2312" w:hAnsi="仿宋" w:eastAsia="仿宋_GB2312"/>
          <w:sz w:val="28"/>
          <w:szCs w:val="28"/>
        </w:rPr>
        <w:t>3分</w:t>
      </w:r>
    </w:p>
    <w:p w14:paraId="58850484">
      <w:pPr>
        <w:spacing w:line="440" w:lineRule="exact"/>
        <w:ind w:firstLine="2660" w:firstLineChars="950"/>
        <w:rPr>
          <w:rFonts w:ascii="仿宋_GB2312" w:hAnsi="仿宋" w:eastAsia="仿宋_GB2312"/>
          <w:sz w:val="28"/>
          <w:szCs w:val="28"/>
        </w:rPr>
      </w:pPr>
      <w:r>
        <w:rPr>
          <w:rFonts w:hint="eastAsia" w:ascii="仿宋_GB2312" w:hAnsi="仿宋" w:eastAsia="仿宋_GB2312"/>
          <w:sz w:val="28"/>
          <w:szCs w:val="28"/>
        </w:rPr>
        <w:t xml:space="preserve">二等奖 </w:t>
      </w:r>
      <w:r>
        <w:rPr>
          <w:rFonts w:ascii="仿宋_GB2312" w:hAnsi="仿宋" w:eastAsia="仿宋_GB2312"/>
          <w:sz w:val="28"/>
          <w:szCs w:val="28"/>
        </w:rPr>
        <w:t xml:space="preserve">           2.5</w:t>
      </w:r>
      <w:r>
        <w:rPr>
          <w:rFonts w:hint="eastAsia" w:ascii="仿宋_GB2312" w:hAnsi="仿宋" w:eastAsia="仿宋_GB2312"/>
          <w:sz w:val="28"/>
          <w:szCs w:val="28"/>
        </w:rPr>
        <w:t>分</w:t>
      </w:r>
    </w:p>
    <w:p w14:paraId="020B1067">
      <w:pPr>
        <w:spacing w:line="440" w:lineRule="exact"/>
        <w:ind w:firstLine="2660" w:firstLineChars="950"/>
        <w:rPr>
          <w:rFonts w:ascii="仿宋_GB2312" w:hAnsi="仿宋" w:eastAsia="仿宋_GB2312"/>
          <w:sz w:val="28"/>
          <w:szCs w:val="28"/>
        </w:rPr>
      </w:pPr>
      <w:r>
        <w:rPr>
          <w:rFonts w:hint="eastAsia" w:ascii="仿宋_GB2312" w:hAnsi="仿宋" w:eastAsia="仿宋_GB2312"/>
          <w:sz w:val="28"/>
          <w:szCs w:val="28"/>
        </w:rPr>
        <w:t xml:space="preserve">三等奖 </w:t>
      </w:r>
      <w:r>
        <w:rPr>
          <w:rFonts w:ascii="仿宋_GB2312" w:hAnsi="仿宋" w:eastAsia="仿宋_GB2312"/>
          <w:sz w:val="28"/>
          <w:szCs w:val="28"/>
        </w:rPr>
        <w:t xml:space="preserve">           2</w:t>
      </w:r>
      <w:r>
        <w:rPr>
          <w:rFonts w:hint="eastAsia" w:ascii="仿宋_GB2312" w:hAnsi="仿宋" w:eastAsia="仿宋_GB2312"/>
          <w:sz w:val="28"/>
          <w:szCs w:val="28"/>
        </w:rPr>
        <w:t>分</w:t>
      </w:r>
    </w:p>
    <w:p w14:paraId="7D80E7BA">
      <w:pPr>
        <w:spacing w:line="440" w:lineRule="exact"/>
        <w:ind w:firstLine="1260" w:firstLineChars="450"/>
        <w:rPr>
          <w:rFonts w:ascii="仿宋_GB2312" w:hAnsi="仿宋" w:eastAsia="仿宋_GB2312"/>
          <w:sz w:val="28"/>
          <w:szCs w:val="28"/>
        </w:rPr>
      </w:pPr>
      <w:r>
        <w:rPr>
          <w:rFonts w:hint="eastAsia" w:ascii="仿宋_GB2312" w:hAnsi="仿宋" w:eastAsia="仿宋_GB2312"/>
          <w:sz w:val="28"/>
          <w:szCs w:val="28"/>
        </w:rPr>
        <w:t>校级竞赛</w:t>
      </w:r>
    </w:p>
    <w:p w14:paraId="5546C022">
      <w:pPr>
        <w:spacing w:line="440" w:lineRule="exact"/>
        <w:ind w:firstLine="2660" w:firstLineChars="950"/>
        <w:rPr>
          <w:rFonts w:ascii="仿宋_GB2312" w:hAnsi="仿宋" w:eastAsia="仿宋_GB2312"/>
          <w:sz w:val="28"/>
          <w:szCs w:val="28"/>
        </w:rPr>
      </w:pPr>
      <w:r>
        <w:rPr>
          <w:rFonts w:hint="eastAsia" w:ascii="仿宋_GB2312" w:hAnsi="仿宋" w:eastAsia="仿宋_GB2312"/>
          <w:sz w:val="28"/>
          <w:szCs w:val="28"/>
        </w:rPr>
        <w:t xml:space="preserve">一等奖           </w:t>
      </w:r>
      <w:r>
        <w:rPr>
          <w:rFonts w:hint="eastAsia" w:ascii="仿宋_GB2312" w:hAnsi="仿宋" w:eastAsia="仿宋_GB2312"/>
          <w:szCs w:val="21"/>
        </w:rPr>
        <w:t xml:space="preserve"> </w:t>
      </w:r>
      <w:r>
        <w:rPr>
          <w:rFonts w:hint="eastAsia" w:ascii="仿宋_GB2312" w:hAnsi="仿宋" w:eastAsia="仿宋_GB2312"/>
          <w:sz w:val="28"/>
          <w:szCs w:val="28"/>
        </w:rPr>
        <w:t>2分</w:t>
      </w:r>
    </w:p>
    <w:p w14:paraId="1645C8F9">
      <w:pPr>
        <w:spacing w:line="440" w:lineRule="exact"/>
        <w:ind w:firstLine="2660" w:firstLineChars="950"/>
        <w:rPr>
          <w:rFonts w:ascii="仿宋_GB2312" w:hAnsi="仿宋" w:eastAsia="仿宋_GB2312"/>
          <w:sz w:val="28"/>
          <w:szCs w:val="28"/>
        </w:rPr>
      </w:pPr>
      <w:r>
        <w:rPr>
          <w:rFonts w:hint="eastAsia" w:ascii="仿宋_GB2312" w:hAnsi="仿宋" w:eastAsia="仿宋_GB2312"/>
          <w:sz w:val="28"/>
          <w:szCs w:val="28"/>
        </w:rPr>
        <w:t xml:space="preserve">二等奖 </w:t>
      </w:r>
      <w:r>
        <w:rPr>
          <w:rFonts w:ascii="仿宋_GB2312" w:hAnsi="仿宋" w:eastAsia="仿宋_GB2312"/>
          <w:sz w:val="28"/>
          <w:szCs w:val="28"/>
        </w:rPr>
        <w:t xml:space="preserve">           1.5</w:t>
      </w:r>
      <w:r>
        <w:rPr>
          <w:rFonts w:hint="eastAsia" w:ascii="仿宋_GB2312" w:hAnsi="仿宋" w:eastAsia="仿宋_GB2312"/>
          <w:sz w:val="28"/>
          <w:szCs w:val="28"/>
        </w:rPr>
        <w:t>分</w:t>
      </w:r>
    </w:p>
    <w:p w14:paraId="0E3BAC29">
      <w:pPr>
        <w:spacing w:line="440" w:lineRule="exact"/>
        <w:ind w:firstLine="2660" w:firstLineChars="950"/>
        <w:rPr>
          <w:rFonts w:ascii="仿宋_GB2312" w:hAnsi="仿宋" w:eastAsia="仿宋_GB2312"/>
          <w:sz w:val="28"/>
          <w:szCs w:val="28"/>
        </w:rPr>
      </w:pPr>
      <w:r>
        <w:rPr>
          <w:rFonts w:hint="eastAsia" w:ascii="仿宋_GB2312" w:hAnsi="仿宋" w:eastAsia="仿宋_GB2312"/>
          <w:sz w:val="28"/>
          <w:szCs w:val="28"/>
        </w:rPr>
        <w:t xml:space="preserve">三等奖 </w:t>
      </w:r>
      <w:r>
        <w:rPr>
          <w:rFonts w:ascii="仿宋_GB2312" w:hAnsi="仿宋" w:eastAsia="仿宋_GB2312"/>
          <w:sz w:val="28"/>
          <w:szCs w:val="28"/>
        </w:rPr>
        <w:t xml:space="preserve">           1</w:t>
      </w:r>
      <w:r>
        <w:rPr>
          <w:rFonts w:hint="eastAsia" w:ascii="仿宋_GB2312" w:hAnsi="仿宋" w:eastAsia="仿宋_GB2312"/>
          <w:sz w:val="28"/>
          <w:szCs w:val="28"/>
        </w:rPr>
        <w:t>分</w:t>
      </w:r>
    </w:p>
    <w:p w14:paraId="2248611C">
      <w:pPr>
        <w:spacing w:line="440" w:lineRule="exact"/>
        <w:ind w:firstLine="980" w:firstLineChars="350"/>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成功参与《河北工业大学大学生竞赛指导目录》中的竞赛，未获奖 </w:t>
      </w:r>
      <w:r>
        <w:rPr>
          <w:rFonts w:ascii="仿宋_GB2312" w:hAnsi="仿宋" w:eastAsia="仿宋_GB2312"/>
          <w:sz w:val="28"/>
          <w:szCs w:val="28"/>
        </w:rPr>
        <w:t xml:space="preserve">                               0.5</w:t>
      </w:r>
      <w:r>
        <w:rPr>
          <w:rFonts w:hint="eastAsia" w:ascii="仿宋_GB2312" w:hAnsi="仿宋" w:eastAsia="仿宋_GB2312"/>
          <w:sz w:val="28"/>
          <w:szCs w:val="28"/>
        </w:rPr>
        <w:t>分</w:t>
      </w:r>
    </w:p>
    <w:bookmarkEnd w:id="2"/>
    <w:p w14:paraId="4DC23C33">
      <w:pPr>
        <w:widowControl/>
        <w:ind w:firstLine="729" w:firstLineChars="304"/>
        <w:jc w:val="left"/>
        <w:rPr>
          <w:rFonts w:ascii="仿宋_GB2312" w:hAnsi="楷体_GB2312" w:eastAsia="仿宋_GB2312" w:cs="楷体_GB2312"/>
          <w:sz w:val="24"/>
          <w:szCs w:val="32"/>
        </w:rPr>
      </w:pPr>
      <w:r>
        <w:rPr>
          <w:rFonts w:hint="eastAsia" w:ascii="仿宋_GB2312" w:hAnsi="楷体_GB2312" w:eastAsia="仿宋_GB2312" w:cs="楷体_GB2312"/>
          <w:sz w:val="24"/>
          <w:szCs w:val="32"/>
        </w:rPr>
        <w:t>注：</w:t>
      </w:r>
      <w:bookmarkStart w:id="3" w:name="_Hlk155686024"/>
      <w:r>
        <w:rPr>
          <w:rFonts w:hint="eastAsia" w:ascii="仿宋_GB2312" w:hAnsi="楷体_GB2312" w:eastAsia="仿宋_GB2312" w:cs="楷体_GB2312"/>
          <w:sz w:val="24"/>
          <w:szCs w:val="32"/>
        </w:rPr>
        <w:t>参加《河北工业大学大学生竞赛指导目录》中A</w:t>
      </w:r>
      <w:r>
        <w:rPr>
          <w:rFonts w:ascii="仿宋_GB2312" w:hAnsi="楷体_GB2312" w:eastAsia="仿宋_GB2312" w:cs="楷体_GB2312"/>
          <w:sz w:val="24"/>
          <w:szCs w:val="32"/>
        </w:rPr>
        <w:t>1</w:t>
      </w:r>
      <w:r>
        <w:rPr>
          <w:rFonts w:hint="eastAsia" w:ascii="仿宋_GB2312" w:hAnsi="楷体_GB2312" w:eastAsia="仿宋_GB2312" w:cs="楷体_GB2312"/>
          <w:sz w:val="24"/>
          <w:szCs w:val="32"/>
        </w:rPr>
        <w:t>级比赛获奖的，分值乘2，A</w:t>
      </w:r>
      <w:r>
        <w:rPr>
          <w:rFonts w:ascii="仿宋_GB2312" w:hAnsi="楷体_GB2312" w:eastAsia="仿宋_GB2312" w:cs="楷体_GB2312"/>
          <w:sz w:val="24"/>
          <w:szCs w:val="32"/>
        </w:rPr>
        <w:t>2</w:t>
      </w:r>
      <w:r>
        <w:rPr>
          <w:rFonts w:hint="eastAsia" w:ascii="仿宋_GB2312" w:hAnsi="楷体_GB2312" w:eastAsia="仿宋_GB2312" w:cs="楷体_GB2312"/>
          <w:sz w:val="24"/>
          <w:szCs w:val="32"/>
        </w:rPr>
        <w:t>级比赛获奖的，分值乘</w:t>
      </w:r>
      <w:r>
        <w:rPr>
          <w:rFonts w:ascii="仿宋_GB2312" w:hAnsi="楷体_GB2312" w:eastAsia="仿宋_GB2312" w:cs="楷体_GB2312"/>
          <w:sz w:val="24"/>
          <w:szCs w:val="32"/>
        </w:rPr>
        <w:t>1.5</w:t>
      </w:r>
      <w:r>
        <w:rPr>
          <w:rFonts w:hint="eastAsia" w:ascii="仿宋_GB2312" w:hAnsi="楷体_GB2312" w:eastAsia="仿宋_GB2312" w:cs="楷体_GB2312"/>
          <w:sz w:val="24"/>
          <w:szCs w:val="32"/>
        </w:rPr>
        <w:t>，B类比赛获奖的，分值乘1.2，C类比赛获奖的，分值乘1.1。学生参加的比赛级别按《河北工业大学大学生竞赛指导目录》（下称竞赛目录）界定。若未在竞赛目录中按照主办单位（以获奖证书章为准）界定，非政府单位主办的不予认定，其中经由团委发布的竞赛但不在竞赛目录中的，经请示团委后认定。同一竞赛，获得不同级别奖项以最高级别认定。参赛团队内前3名按照上述标准予以加分，第4、5名按照乘系数 0.5予以加分，5名以后不做附加分认定。当所获奖项非一等奖、二等奖、三等奖时，一等奖为竞赛最高奖项，以此类推。</w:t>
      </w:r>
      <w:bookmarkEnd w:id="3"/>
    </w:p>
    <w:p w14:paraId="2F8C3FE1">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7、同分排序</w:t>
      </w:r>
    </w:p>
    <w:p w14:paraId="327B5BED">
      <w:pPr>
        <w:tabs>
          <w:tab w:val="left" w:pos="8056"/>
        </w:tabs>
        <w:adjustRightInd w:val="0"/>
        <w:snapToGrid w:val="0"/>
        <w:spacing w:line="500" w:lineRule="exact"/>
        <w:ind w:left="1" w:firstLine="845" w:firstLineChars="302"/>
        <w:rPr>
          <w:rFonts w:ascii="仿宋_GB2312" w:hAnsi="仿宋" w:eastAsia="仿宋_GB2312"/>
          <w:sz w:val="28"/>
          <w:szCs w:val="28"/>
        </w:rPr>
      </w:pPr>
      <w:r>
        <w:rPr>
          <w:rFonts w:hint="eastAsia" w:ascii="仿宋_GB2312" w:hAnsi="仿宋" w:eastAsia="仿宋_GB2312"/>
          <w:sz w:val="28"/>
          <w:szCs w:val="28"/>
        </w:rPr>
        <w:t>出现总分相同且影响学业奖学金等级的情况，第一学年按照平均成绩分高者优先，第二学年按照科研成果分值分高者优先（仍分值相同的，逐项按照论文、获奖、社会工作顺序确定优先者），以上标准仍不能确定优先者的，通过班级答辩演讲评分确定。</w:t>
      </w:r>
    </w:p>
    <w:p w14:paraId="41826DFC">
      <w:pPr>
        <w:adjustRightInd w:val="0"/>
        <w:snapToGrid w:val="0"/>
        <w:spacing w:line="500" w:lineRule="exact"/>
        <w:jc w:val="center"/>
        <w:rPr>
          <w:rFonts w:ascii="方正小标宋简体" w:hAnsi="方正小标宋简体" w:eastAsia="方正小标宋简体"/>
          <w:sz w:val="28"/>
          <w:szCs w:val="28"/>
        </w:rPr>
      </w:pPr>
      <w:r>
        <w:rPr>
          <w:rFonts w:hint="eastAsia" w:ascii="方正小标宋简体" w:hAnsi="方正小标宋简体" w:eastAsia="方正小标宋简体"/>
          <w:sz w:val="28"/>
          <w:szCs w:val="28"/>
        </w:rPr>
        <w:t>第三章  名额分配与评定程序</w:t>
      </w:r>
    </w:p>
    <w:p w14:paraId="43C2430D">
      <w:pPr>
        <w:adjustRightInd w:val="0"/>
        <w:snapToGrid w:val="0"/>
        <w:spacing w:line="500" w:lineRule="exact"/>
        <w:ind w:left="630" w:leftChars="300"/>
        <w:rPr>
          <w:rFonts w:ascii="仿宋_GB2312" w:hAnsi="仿宋" w:eastAsia="仿宋_GB2312"/>
          <w:b/>
          <w:sz w:val="28"/>
          <w:szCs w:val="28"/>
        </w:rPr>
      </w:pPr>
      <w:r>
        <w:rPr>
          <w:rFonts w:hint="eastAsia" w:ascii="仿宋_GB2312" w:hAnsi="仿宋" w:eastAsia="仿宋_GB2312"/>
          <w:b/>
          <w:sz w:val="28"/>
          <w:szCs w:val="28"/>
        </w:rPr>
        <w:t>九、名额分配：</w:t>
      </w:r>
    </w:p>
    <w:p w14:paraId="0E930FC9">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根据学校下达的名额，由学院学生工作领导小组负责分配，原则按照各学位点全日制研究生数所占全院全日制研究生总数的比例进行分配。</w:t>
      </w:r>
    </w:p>
    <w:p w14:paraId="3AD13F21">
      <w:pPr>
        <w:adjustRightInd w:val="0"/>
        <w:snapToGrid w:val="0"/>
        <w:spacing w:line="500" w:lineRule="exact"/>
        <w:ind w:left="630" w:leftChars="300"/>
        <w:rPr>
          <w:rFonts w:ascii="仿宋_GB2312" w:hAnsi="仿宋" w:eastAsia="仿宋_GB2312"/>
          <w:b/>
          <w:sz w:val="28"/>
          <w:szCs w:val="28"/>
        </w:rPr>
      </w:pPr>
      <w:r>
        <w:rPr>
          <w:rFonts w:hint="eastAsia" w:ascii="仿宋_GB2312" w:hAnsi="仿宋" w:eastAsia="仿宋_GB2312"/>
          <w:b/>
          <w:sz w:val="28"/>
          <w:szCs w:val="28"/>
        </w:rPr>
        <w:t>十、评定程序：</w:t>
      </w:r>
    </w:p>
    <w:p w14:paraId="086F95CE">
      <w:pPr>
        <w:adjustRightInd w:val="0"/>
        <w:snapToGrid w:val="0"/>
        <w:spacing w:line="500" w:lineRule="exact"/>
        <w:rPr>
          <w:rFonts w:ascii="仿宋_GB2312" w:hAnsi="仿宋" w:eastAsia="仿宋_GB2312"/>
          <w:sz w:val="28"/>
          <w:szCs w:val="28"/>
        </w:rPr>
      </w:pPr>
      <w:r>
        <w:rPr>
          <w:rFonts w:hint="eastAsia" w:ascii="仿宋_GB2312" w:hAnsi="仿宋" w:eastAsia="仿宋_GB2312"/>
          <w:sz w:val="28"/>
          <w:szCs w:val="28"/>
        </w:rPr>
        <w:t xml:space="preserve">    1、个人申请：研究生根据本细则，按要求认真填写个人申请表，注明申请等级。导师根据研究生的科研工作表现，按照是否能够严格遵守日常规定，是否能够按时、保质保量完成导师布置的各项任务，是否遵守学院实验室安全规定等情况给出意见。</w:t>
      </w:r>
    </w:p>
    <w:p w14:paraId="3BD2B7E2">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2、各</w:t>
      </w:r>
      <w:bookmarkStart w:id="4" w:name="OLE_LINK4"/>
      <w:r>
        <w:rPr>
          <w:rFonts w:hint="eastAsia" w:ascii="仿宋_GB2312" w:hAnsi="仿宋" w:eastAsia="仿宋_GB2312"/>
          <w:sz w:val="28"/>
          <w:szCs w:val="28"/>
        </w:rPr>
        <w:t>学位点</w:t>
      </w:r>
      <w:bookmarkEnd w:id="4"/>
      <w:r>
        <w:rPr>
          <w:rFonts w:hint="eastAsia" w:ascii="仿宋_GB2312" w:hAnsi="仿宋" w:eastAsia="仿宋_GB2312"/>
          <w:sz w:val="28"/>
          <w:szCs w:val="28"/>
        </w:rPr>
        <w:t>评审：成立各学位点推荐小组，由各学位点负责人任组长，学位点老师任评委，并指定一名老师作为联系人负责上报材料。各学位点根据所分配名额，负责学位点内具体推荐工作，并组织相关人员审核研究生个人申请和佐证材料，确定本学位点各等级学业奖学金的推荐名单并填写汇总表格，上报评审委员会。</w:t>
      </w:r>
    </w:p>
    <w:p w14:paraId="1DE52DD9">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3、学院评审：评审委员会根据各学科上报材料，对各学科推荐结果进行审查，最终确定学院学业奖学金获奖名单。</w:t>
      </w:r>
    </w:p>
    <w:p w14:paraId="7C1CA203">
      <w:pPr>
        <w:tabs>
          <w:tab w:val="left" w:pos="8056"/>
        </w:tabs>
        <w:adjustRightInd w:val="0"/>
        <w:snapToGrid w:val="0"/>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4、公示并上报：获奖名单公示五个工作日，公示无异议后上报研究生院。</w:t>
      </w:r>
    </w:p>
    <w:p w14:paraId="71805887">
      <w:pPr>
        <w:tabs>
          <w:tab w:val="left" w:pos="8056"/>
        </w:tabs>
        <w:adjustRightInd w:val="0"/>
        <w:snapToGrid w:val="0"/>
        <w:spacing w:line="500" w:lineRule="exact"/>
        <w:ind w:left="1" w:firstLine="560" w:firstLineChars="200"/>
        <w:rPr>
          <w:rFonts w:ascii="仿宋_GB2312" w:hAnsi="仿宋" w:eastAsia="仿宋_GB2312"/>
          <w:sz w:val="28"/>
          <w:szCs w:val="28"/>
        </w:rPr>
      </w:pPr>
      <w:r>
        <w:rPr>
          <w:rFonts w:hint="eastAsia" w:ascii="仿宋_GB2312" w:hAnsi="仿宋" w:eastAsia="仿宋_GB2312"/>
          <w:sz w:val="28"/>
          <w:szCs w:val="28"/>
        </w:rPr>
        <w:t>5、申诉办法：对研究生学业奖学金评审结果有异议的同学，可在学院公示阶段以实名制向学院学生工作领导小组提出申诉，学生工作领导小组应及时研究并予以答复。如学生对其做出的答复仍存在异议，可在学校公示阶段向研究生院提请裁决。</w:t>
      </w:r>
    </w:p>
    <w:p w14:paraId="63D13498">
      <w:pPr>
        <w:adjustRightInd w:val="0"/>
        <w:snapToGrid w:val="0"/>
        <w:spacing w:line="500" w:lineRule="exact"/>
        <w:jc w:val="center"/>
        <w:rPr>
          <w:rFonts w:ascii="方正小标宋简体" w:hAnsi="方正小标宋简体" w:eastAsia="方正小标宋简体"/>
          <w:sz w:val="28"/>
          <w:szCs w:val="28"/>
        </w:rPr>
      </w:pPr>
      <w:r>
        <w:rPr>
          <w:rFonts w:hint="eastAsia" w:ascii="方正小标宋简体" w:hAnsi="方正小标宋简体" w:eastAsia="方正小标宋简体"/>
          <w:sz w:val="28"/>
          <w:szCs w:val="28"/>
        </w:rPr>
        <w:t>第四章  其它</w:t>
      </w:r>
    </w:p>
    <w:p w14:paraId="6BDB874E">
      <w:pPr>
        <w:tabs>
          <w:tab w:val="left" w:pos="8056"/>
        </w:tabs>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sz w:val="28"/>
          <w:szCs w:val="28"/>
        </w:rPr>
        <w:t>十一、</w:t>
      </w:r>
      <w:r>
        <w:rPr>
          <w:rFonts w:hint="eastAsia" w:ascii="仿宋_GB2312" w:hAnsi="仿宋" w:eastAsia="仿宋_GB2312"/>
          <w:sz w:val="28"/>
          <w:szCs w:val="28"/>
        </w:rPr>
        <w:t>各类成果必须以导师和研究生直接工作为主，第一完成单位必须为河北工业大学，作者排名必须是申请人本人为第一，或导师第一申请人第二。成果统计时间自评选前一年的9月1日0:00至评选当年9月1日0:00。上一年度学业奖学金评审已使用过的成果本评审年度不得再用。</w:t>
      </w:r>
    </w:p>
    <w:p w14:paraId="5FE29E3D">
      <w:pPr>
        <w:tabs>
          <w:tab w:val="left" w:pos="8056"/>
        </w:tabs>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sz w:val="28"/>
          <w:szCs w:val="28"/>
        </w:rPr>
        <w:t>十二、</w:t>
      </w:r>
      <w:r>
        <w:rPr>
          <w:rFonts w:hint="eastAsia" w:ascii="仿宋_GB2312" w:hAnsi="仿宋" w:eastAsia="仿宋_GB2312"/>
          <w:sz w:val="28"/>
          <w:szCs w:val="28"/>
        </w:rPr>
        <w:t>个人申请中提交的佐证材料需由导师确认签字并按顺序装订好，已发表论文要求提供期刊封面或论文正文首页的复印件，或者论文接收函（论文接收邮件）以及论文发表当时中科院大类分区截图；获奖、专利情况要求提供证书复印件。</w:t>
      </w:r>
    </w:p>
    <w:p w14:paraId="13DD8160">
      <w:pPr>
        <w:tabs>
          <w:tab w:val="left" w:pos="8056"/>
        </w:tabs>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sz w:val="28"/>
          <w:szCs w:val="28"/>
        </w:rPr>
        <w:t>十三、</w:t>
      </w:r>
      <w:r>
        <w:rPr>
          <w:rFonts w:hint="eastAsia" w:ascii="仿宋_GB2312" w:hAnsi="仿宋" w:eastAsia="仿宋_GB2312"/>
          <w:sz w:val="28"/>
          <w:szCs w:val="28"/>
        </w:rPr>
        <w:t>申请人所报材料必须真实准确，如有弄虚作假，将追缴所发奖学金，并给予相应的纪律处分。</w:t>
      </w:r>
    </w:p>
    <w:p w14:paraId="33B8F2FA">
      <w:pPr>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sz w:val="28"/>
          <w:szCs w:val="28"/>
        </w:rPr>
        <w:t>十四、</w:t>
      </w:r>
      <w:r>
        <w:rPr>
          <w:rFonts w:hint="eastAsia" w:ascii="仿宋_GB2312" w:hAnsi="仿宋" w:eastAsia="仿宋_GB2312"/>
          <w:sz w:val="28"/>
          <w:szCs w:val="28"/>
        </w:rPr>
        <w:t>本细则未述及或上级规定有变化的，以上级规定及最新通知要求为准。</w:t>
      </w:r>
    </w:p>
    <w:p w14:paraId="594E3603">
      <w:pPr>
        <w:adjustRightInd w:val="0"/>
        <w:snapToGrid w:val="0"/>
        <w:spacing w:line="500" w:lineRule="exact"/>
        <w:ind w:firstLine="562" w:firstLineChars="200"/>
        <w:rPr>
          <w:rFonts w:ascii="仿宋_GB2312" w:hAnsi="仿宋" w:eastAsia="仿宋_GB2312"/>
          <w:sz w:val="28"/>
          <w:szCs w:val="28"/>
        </w:rPr>
      </w:pPr>
      <w:r>
        <w:rPr>
          <w:rFonts w:hint="eastAsia" w:ascii="仿宋_GB2312" w:hAnsi="仿宋" w:eastAsia="仿宋_GB2312"/>
          <w:b/>
          <w:sz w:val="28"/>
          <w:szCs w:val="28"/>
        </w:rPr>
        <w:t>十五、</w:t>
      </w:r>
      <w:r>
        <w:rPr>
          <w:rFonts w:hint="eastAsia" w:ascii="仿宋_GB2312" w:hAnsi="仿宋" w:eastAsia="仿宋_GB2312"/>
          <w:sz w:val="28"/>
          <w:szCs w:val="28"/>
        </w:rPr>
        <w:t>本细则解释权归化工学院学生工作领导小组。</w:t>
      </w:r>
    </w:p>
    <w:p w14:paraId="287AFF16">
      <w:pPr>
        <w:adjustRightInd w:val="0"/>
        <w:snapToGrid w:val="0"/>
        <w:spacing w:line="500" w:lineRule="exact"/>
        <w:ind w:firstLine="6440" w:firstLineChars="2300"/>
        <w:rPr>
          <w:rFonts w:ascii="仿宋_GB2312" w:hAnsi="仿宋" w:eastAsia="仿宋_GB2312"/>
          <w:sz w:val="28"/>
          <w:szCs w:val="28"/>
        </w:rPr>
      </w:pPr>
    </w:p>
    <w:p w14:paraId="1198BB59">
      <w:pPr>
        <w:adjustRightInd w:val="0"/>
        <w:snapToGrid w:val="0"/>
        <w:spacing w:line="500" w:lineRule="exact"/>
        <w:ind w:firstLine="4818" w:firstLineChars="1721"/>
        <w:jc w:val="center"/>
        <w:rPr>
          <w:rFonts w:ascii="仿宋_GB2312" w:hAnsi="仿宋" w:eastAsia="仿宋_GB2312"/>
          <w:sz w:val="28"/>
          <w:szCs w:val="28"/>
        </w:rPr>
      </w:pPr>
      <w:r>
        <w:rPr>
          <w:rFonts w:hint="eastAsia" w:ascii="仿宋_GB2312" w:hAnsi="仿宋" w:eastAsia="仿宋_GB2312"/>
          <w:sz w:val="28"/>
          <w:szCs w:val="28"/>
        </w:rPr>
        <w:t>化工学院</w:t>
      </w:r>
    </w:p>
    <w:p w14:paraId="2B57FC55">
      <w:pPr>
        <w:adjustRightInd w:val="0"/>
        <w:snapToGrid w:val="0"/>
        <w:spacing w:line="500" w:lineRule="exact"/>
        <w:ind w:firstLine="4818" w:firstLineChars="1721"/>
        <w:jc w:val="center"/>
        <w:rPr>
          <w:rFonts w:ascii="仿宋_GB2312" w:hAnsi="黑体" w:eastAsia="仿宋_GB2312"/>
          <w:sz w:val="28"/>
          <w:szCs w:val="28"/>
        </w:rPr>
      </w:pPr>
      <w:bookmarkStart w:id="5" w:name="_GoBack"/>
      <w:bookmarkEnd w:id="5"/>
      <w:r>
        <w:rPr>
          <w:rFonts w:hint="eastAsia" w:ascii="仿宋_GB2312" w:hAnsi="仿宋" w:eastAsia="仿宋_GB2312"/>
          <w:sz w:val="28"/>
          <w:szCs w:val="28"/>
        </w:rPr>
        <w:t>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ascii="仿宋_GB2312" w:hAnsi="仿宋" w:eastAsia="仿宋_GB2312"/>
          <w:sz w:val="28"/>
          <w:szCs w:val="28"/>
        </w:rPr>
        <w:t>3</w:t>
      </w:r>
      <w:r>
        <w:rPr>
          <w:rFonts w:hint="eastAsia" w:ascii="仿宋_GB2312" w:hAnsi="仿宋" w:eastAsia="仿宋_GB2312"/>
          <w:sz w:val="28"/>
          <w:szCs w:val="28"/>
        </w:rPr>
        <w:t>月</w:t>
      </w:r>
      <w:r>
        <w:rPr>
          <w:rFonts w:ascii="仿宋_GB2312" w:hAnsi="仿宋" w:eastAsia="仿宋_GB2312"/>
          <w:sz w:val="28"/>
          <w:szCs w:val="28"/>
        </w:rPr>
        <w:t>3</w:t>
      </w:r>
      <w:r>
        <w:rPr>
          <w:rFonts w:hint="eastAsia" w:ascii="仿宋_GB2312" w:hAnsi="仿宋" w:eastAsia="仿宋_GB2312"/>
          <w:sz w:val="28"/>
          <w:szCs w:val="28"/>
        </w:rPr>
        <w:t>日</w:t>
      </w:r>
    </w:p>
    <w:sectPr>
      <w:footerReference r:id="rId3" w:type="default"/>
      <w:pgSz w:w="11906" w:h="16838"/>
      <w:pgMar w:top="1560" w:right="1416" w:bottom="1276"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D4419">
    <w:pPr>
      <w:pStyle w:val="5"/>
      <w:jc w:val="center"/>
    </w:pPr>
    <w:r>
      <w:fldChar w:fldCharType="begin"/>
    </w:r>
    <w:r>
      <w:instrText xml:space="preserve">PAGE   \* MERGEFORMAT</w:instrText>
    </w:r>
    <w:r>
      <w:fldChar w:fldCharType="separate"/>
    </w:r>
    <w:r>
      <w:rPr>
        <w:lang w:val="zh-CN"/>
      </w:rPr>
      <w:t>7</w:t>
    </w:r>
    <w:r>
      <w:fldChar w:fldCharType="end"/>
    </w:r>
  </w:p>
  <w:p w14:paraId="0B3A2C1B">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0EF"/>
    <w:rsid w:val="00010B10"/>
    <w:rsid w:val="000110CB"/>
    <w:rsid w:val="00013513"/>
    <w:rsid w:val="0001399D"/>
    <w:rsid w:val="00015444"/>
    <w:rsid w:val="00015613"/>
    <w:rsid w:val="0001633E"/>
    <w:rsid w:val="000177EE"/>
    <w:rsid w:val="000201FF"/>
    <w:rsid w:val="000218B6"/>
    <w:rsid w:val="000239A5"/>
    <w:rsid w:val="000252D5"/>
    <w:rsid w:val="000346B0"/>
    <w:rsid w:val="000359E5"/>
    <w:rsid w:val="000369A8"/>
    <w:rsid w:val="0004000B"/>
    <w:rsid w:val="00040298"/>
    <w:rsid w:val="000435C9"/>
    <w:rsid w:val="00044747"/>
    <w:rsid w:val="00047A34"/>
    <w:rsid w:val="000514B6"/>
    <w:rsid w:val="0005250A"/>
    <w:rsid w:val="00054E34"/>
    <w:rsid w:val="00062E0F"/>
    <w:rsid w:val="00067215"/>
    <w:rsid w:val="00067904"/>
    <w:rsid w:val="00070990"/>
    <w:rsid w:val="00071748"/>
    <w:rsid w:val="00072758"/>
    <w:rsid w:val="00072C87"/>
    <w:rsid w:val="00080DF2"/>
    <w:rsid w:val="000813AB"/>
    <w:rsid w:val="00081FE6"/>
    <w:rsid w:val="00082BC6"/>
    <w:rsid w:val="00083679"/>
    <w:rsid w:val="00084B26"/>
    <w:rsid w:val="000872C9"/>
    <w:rsid w:val="0008736A"/>
    <w:rsid w:val="00091961"/>
    <w:rsid w:val="000919B7"/>
    <w:rsid w:val="00093F4B"/>
    <w:rsid w:val="000A00DF"/>
    <w:rsid w:val="000A09C0"/>
    <w:rsid w:val="000B76BC"/>
    <w:rsid w:val="000C45CB"/>
    <w:rsid w:val="000C4930"/>
    <w:rsid w:val="000C5186"/>
    <w:rsid w:val="000D0502"/>
    <w:rsid w:val="000D25CB"/>
    <w:rsid w:val="000D280C"/>
    <w:rsid w:val="000D32ED"/>
    <w:rsid w:val="000D6C07"/>
    <w:rsid w:val="000E02A2"/>
    <w:rsid w:val="000E5379"/>
    <w:rsid w:val="000F583E"/>
    <w:rsid w:val="0010108B"/>
    <w:rsid w:val="00102746"/>
    <w:rsid w:val="001028F9"/>
    <w:rsid w:val="00103497"/>
    <w:rsid w:val="00105133"/>
    <w:rsid w:val="00106A00"/>
    <w:rsid w:val="00113EB8"/>
    <w:rsid w:val="00117461"/>
    <w:rsid w:val="00123352"/>
    <w:rsid w:val="00130260"/>
    <w:rsid w:val="00130B30"/>
    <w:rsid w:val="00130FB9"/>
    <w:rsid w:val="00132EFC"/>
    <w:rsid w:val="00147D0F"/>
    <w:rsid w:val="0015079F"/>
    <w:rsid w:val="0015097E"/>
    <w:rsid w:val="00151D19"/>
    <w:rsid w:val="001566CE"/>
    <w:rsid w:val="00156FB3"/>
    <w:rsid w:val="00157367"/>
    <w:rsid w:val="001662D4"/>
    <w:rsid w:val="00167858"/>
    <w:rsid w:val="00170AD0"/>
    <w:rsid w:val="0017104A"/>
    <w:rsid w:val="00171793"/>
    <w:rsid w:val="001723A7"/>
    <w:rsid w:val="0017266D"/>
    <w:rsid w:val="00172A27"/>
    <w:rsid w:val="00173C7E"/>
    <w:rsid w:val="001743A2"/>
    <w:rsid w:val="00174C58"/>
    <w:rsid w:val="00181AB2"/>
    <w:rsid w:val="00183A91"/>
    <w:rsid w:val="00196E39"/>
    <w:rsid w:val="001A0185"/>
    <w:rsid w:val="001A3CBC"/>
    <w:rsid w:val="001A66F4"/>
    <w:rsid w:val="001B0B9D"/>
    <w:rsid w:val="001B3723"/>
    <w:rsid w:val="001B783C"/>
    <w:rsid w:val="001C38A2"/>
    <w:rsid w:val="001C492E"/>
    <w:rsid w:val="001C5132"/>
    <w:rsid w:val="001D28FE"/>
    <w:rsid w:val="001D3840"/>
    <w:rsid w:val="001D6757"/>
    <w:rsid w:val="001E0830"/>
    <w:rsid w:val="001E2C81"/>
    <w:rsid w:val="001E3419"/>
    <w:rsid w:val="001E34A6"/>
    <w:rsid w:val="001E3DA6"/>
    <w:rsid w:val="001E4B52"/>
    <w:rsid w:val="001F14C8"/>
    <w:rsid w:val="001F3082"/>
    <w:rsid w:val="001F7DEC"/>
    <w:rsid w:val="00207F47"/>
    <w:rsid w:val="0021185A"/>
    <w:rsid w:val="00212D75"/>
    <w:rsid w:val="0021426C"/>
    <w:rsid w:val="00221E5A"/>
    <w:rsid w:val="00222364"/>
    <w:rsid w:val="00222901"/>
    <w:rsid w:val="00222D2D"/>
    <w:rsid w:val="00233699"/>
    <w:rsid w:val="0023381A"/>
    <w:rsid w:val="00233B8D"/>
    <w:rsid w:val="00235330"/>
    <w:rsid w:val="002370CC"/>
    <w:rsid w:val="00237CD7"/>
    <w:rsid w:val="00246368"/>
    <w:rsid w:val="002475DB"/>
    <w:rsid w:val="002478D7"/>
    <w:rsid w:val="00250745"/>
    <w:rsid w:val="00251AFD"/>
    <w:rsid w:val="00253D79"/>
    <w:rsid w:val="00254364"/>
    <w:rsid w:val="00260575"/>
    <w:rsid w:val="00275C41"/>
    <w:rsid w:val="00285E6E"/>
    <w:rsid w:val="0029078A"/>
    <w:rsid w:val="002921F8"/>
    <w:rsid w:val="00293730"/>
    <w:rsid w:val="002940DA"/>
    <w:rsid w:val="002957F0"/>
    <w:rsid w:val="002A677A"/>
    <w:rsid w:val="002C14E1"/>
    <w:rsid w:val="002C42CC"/>
    <w:rsid w:val="002C6019"/>
    <w:rsid w:val="002D4C2F"/>
    <w:rsid w:val="002D7140"/>
    <w:rsid w:val="002E017A"/>
    <w:rsid w:val="002E0782"/>
    <w:rsid w:val="002E159C"/>
    <w:rsid w:val="002E32A3"/>
    <w:rsid w:val="002E4167"/>
    <w:rsid w:val="002F0EFD"/>
    <w:rsid w:val="002F2946"/>
    <w:rsid w:val="002F2E76"/>
    <w:rsid w:val="002F3077"/>
    <w:rsid w:val="002F3C8C"/>
    <w:rsid w:val="002F542B"/>
    <w:rsid w:val="002F74D1"/>
    <w:rsid w:val="00305AE2"/>
    <w:rsid w:val="00314645"/>
    <w:rsid w:val="00316A3D"/>
    <w:rsid w:val="0032017F"/>
    <w:rsid w:val="00320B63"/>
    <w:rsid w:val="00320C00"/>
    <w:rsid w:val="0032211A"/>
    <w:rsid w:val="00324AF2"/>
    <w:rsid w:val="00334135"/>
    <w:rsid w:val="00340B16"/>
    <w:rsid w:val="00341811"/>
    <w:rsid w:val="00341F33"/>
    <w:rsid w:val="00345641"/>
    <w:rsid w:val="00353A90"/>
    <w:rsid w:val="00353F98"/>
    <w:rsid w:val="003541DD"/>
    <w:rsid w:val="00354E79"/>
    <w:rsid w:val="00356E64"/>
    <w:rsid w:val="003579C3"/>
    <w:rsid w:val="003608EF"/>
    <w:rsid w:val="0036276F"/>
    <w:rsid w:val="0036392B"/>
    <w:rsid w:val="00367F46"/>
    <w:rsid w:val="00375D89"/>
    <w:rsid w:val="00380796"/>
    <w:rsid w:val="00381AF1"/>
    <w:rsid w:val="003839CC"/>
    <w:rsid w:val="00391673"/>
    <w:rsid w:val="00393D69"/>
    <w:rsid w:val="00394D83"/>
    <w:rsid w:val="00396038"/>
    <w:rsid w:val="00396ABC"/>
    <w:rsid w:val="003A1637"/>
    <w:rsid w:val="003A199A"/>
    <w:rsid w:val="003A3333"/>
    <w:rsid w:val="003A3FAB"/>
    <w:rsid w:val="003A6A3F"/>
    <w:rsid w:val="003B1AD9"/>
    <w:rsid w:val="003C1FDF"/>
    <w:rsid w:val="003C31B9"/>
    <w:rsid w:val="003C39BC"/>
    <w:rsid w:val="003C44A6"/>
    <w:rsid w:val="003C6C09"/>
    <w:rsid w:val="003D21FA"/>
    <w:rsid w:val="003D6536"/>
    <w:rsid w:val="003E31AE"/>
    <w:rsid w:val="003E35F0"/>
    <w:rsid w:val="003E362D"/>
    <w:rsid w:val="003E3BD0"/>
    <w:rsid w:val="003E7FD0"/>
    <w:rsid w:val="003F171C"/>
    <w:rsid w:val="003F2F25"/>
    <w:rsid w:val="003F33D2"/>
    <w:rsid w:val="003F365C"/>
    <w:rsid w:val="003F41AD"/>
    <w:rsid w:val="003F706B"/>
    <w:rsid w:val="004015E8"/>
    <w:rsid w:val="00403A9E"/>
    <w:rsid w:val="00406936"/>
    <w:rsid w:val="0040764E"/>
    <w:rsid w:val="00407C16"/>
    <w:rsid w:val="004252D3"/>
    <w:rsid w:val="00430F72"/>
    <w:rsid w:val="00431CBA"/>
    <w:rsid w:val="00432102"/>
    <w:rsid w:val="00433226"/>
    <w:rsid w:val="004419C3"/>
    <w:rsid w:val="0044279D"/>
    <w:rsid w:val="004434D8"/>
    <w:rsid w:val="004445B5"/>
    <w:rsid w:val="00451AFB"/>
    <w:rsid w:val="0045238F"/>
    <w:rsid w:val="00452A45"/>
    <w:rsid w:val="00452EBB"/>
    <w:rsid w:val="00455128"/>
    <w:rsid w:val="0046368C"/>
    <w:rsid w:val="00463EFC"/>
    <w:rsid w:val="0046500C"/>
    <w:rsid w:val="004705BA"/>
    <w:rsid w:val="004714CE"/>
    <w:rsid w:val="00471DC8"/>
    <w:rsid w:val="0047270B"/>
    <w:rsid w:val="004733CF"/>
    <w:rsid w:val="00476275"/>
    <w:rsid w:val="00480E5C"/>
    <w:rsid w:val="00481CCD"/>
    <w:rsid w:val="00482EA2"/>
    <w:rsid w:val="00482FDF"/>
    <w:rsid w:val="00483808"/>
    <w:rsid w:val="00483B37"/>
    <w:rsid w:val="00490949"/>
    <w:rsid w:val="0049300F"/>
    <w:rsid w:val="00497737"/>
    <w:rsid w:val="004B14AC"/>
    <w:rsid w:val="004B665C"/>
    <w:rsid w:val="004B70FF"/>
    <w:rsid w:val="004C1E29"/>
    <w:rsid w:val="004C7751"/>
    <w:rsid w:val="004D2944"/>
    <w:rsid w:val="004D47C3"/>
    <w:rsid w:val="004D5692"/>
    <w:rsid w:val="004D66E9"/>
    <w:rsid w:val="004D676A"/>
    <w:rsid w:val="004E09EA"/>
    <w:rsid w:val="004E2CCE"/>
    <w:rsid w:val="004E356F"/>
    <w:rsid w:val="004E4AEA"/>
    <w:rsid w:val="004E6CD2"/>
    <w:rsid w:val="004E7879"/>
    <w:rsid w:val="004F2D21"/>
    <w:rsid w:val="0050070B"/>
    <w:rsid w:val="00502230"/>
    <w:rsid w:val="00503F68"/>
    <w:rsid w:val="005056DC"/>
    <w:rsid w:val="0051088C"/>
    <w:rsid w:val="00511E61"/>
    <w:rsid w:val="005135FD"/>
    <w:rsid w:val="00514563"/>
    <w:rsid w:val="00527B8C"/>
    <w:rsid w:val="00530156"/>
    <w:rsid w:val="0053262F"/>
    <w:rsid w:val="00542B30"/>
    <w:rsid w:val="005453C7"/>
    <w:rsid w:val="005455F0"/>
    <w:rsid w:val="00546E91"/>
    <w:rsid w:val="0055080E"/>
    <w:rsid w:val="00550C84"/>
    <w:rsid w:val="00552184"/>
    <w:rsid w:val="00556F61"/>
    <w:rsid w:val="005638C7"/>
    <w:rsid w:val="00563B4F"/>
    <w:rsid w:val="005652EC"/>
    <w:rsid w:val="005655C2"/>
    <w:rsid w:val="00580155"/>
    <w:rsid w:val="0058116D"/>
    <w:rsid w:val="00582037"/>
    <w:rsid w:val="005844DA"/>
    <w:rsid w:val="00585DA9"/>
    <w:rsid w:val="00586B87"/>
    <w:rsid w:val="00590300"/>
    <w:rsid w:val="00592AA6"/>
    <w:rsid w:val="00594016"/>
    <w:rsid w:val="00597686"/>
    <w:rsid w:val="005978AE"/>
    <w:rsid w:val="005A1D44"/>
    <w:rsid w:val="005A2247"/>
    <w:rsid w:val="005A5A2E"/>
    <w:rsid w:val="005B7D7B"/>
    <w:rsid w:val="005C14A8"/>
    <w:rsid w:val="005C38A4"/>
    <w:rsid w:val="005E043C"/>
    <w:rsid w:val="005E2716"/>
    <w:rsid w:val="005E2C7D"/>
    <w:rsid w:val="005E4DEA"/>
    <w:rsid w:val="005E6D42"/>
    <w:rsid w:val="005E78DA"/>
    <w:rsid w:val="005F1D11"/>
    <w:rsid w:val="005F49AA"/>
    <w:rsid w:val="005F4F76"/>
    <w:rsid w:val="005F63CA"/>
    <w:rsid w:val="005F6EE4"/>
    <w:rsid w:val="005F7B09"/>
    <w:rsid w:val="00610FEA"/>
    <w:rsid w:val="00624990"/>
    <w:rsid w:val="00626385"/>
    <w:rsid w:val="006279DF"/>
    <w:rsid w:val="00627D05"/>
    <w:rsid w:val="0063137F"/>
    <w:rsid w:val="00632665"/>
    <w:rsid w:val="006362F9"/>
    <w:rsid w:val="00636A62"/>
    <w:rsid w:val="006378C4"/>
    <w:rsid w:val="00637C78"/>
    <w:rsid w:val="00645353"/>
    <w:rsid w:val="00645573"/>
    <w:rsid w:val="006552B3"/>
    <w:rsid w:val="00656008"/>
    <w:rsid w:val="00657B84"/>
    <w:rsid w:val="0066361C"/>
    <w:rsid w:val="0067090C"/>
    <w:rsid w:val="00674BC9"/>
    <w:rsid w:val="00686816"/>
    <w:rsid w:val="00686F27"/>
    <w:rsid w:val="0069271A"/>
    <w:rsid w:val="00696713"/>
    <w:rsid w:val="006A46C3"/>
    <w:rsid w:val="006A5268"/>
    <w:rsid w:val="006A7DE9"/>
    <w:rsid w:val="006B5FE3"/>
    <w:rsid w:val="006B7267"/>
    <w:rsid w:val="006C144C"/>
    <w:rsid w:val="006C2A70"/>
    <w:rsid w:val="006C2B3E"/>
    <w:rsid w:val="006C602E"/>
    <w:rsid w:val="006D1CB7"/>
    <w:rsid w:val="006D2CE5"/>
    <w:rsid w:val="006E05E7"/>
    <w:rsid w:val="006E19C9"/>
    <w:rsid w:val="006E2AC8"/>
    <w:rsid w:val="006E3C32"/>
    <w:rsid w:val="006E56E9"/>
    <w:rsid w:val="006E651C"/>
    <w:rsid w:val="006E765C"/>
    <w:rsid w:val="006F415A"/>
    <w:rsid w:val="007048AB"/>
    <w:rsid w:val="00704D3A"/>
    <w:rsid w:val="007056B3"/>
    <w:rsid w:val="00705B88"/>
    <w:rsid w:val="00720F32"/>
    <w:rsid w:val="0072173F"/>
    <w:rsid w:val="00722E0D"/>
    <w:rsid w:val="00723A59"/>
    <w:rsid w:val="0072476C"/>
    <w:rsid w:val="00726568"/>
    <w:rsid w:val="00732B3D"/>
    <w:rsid w:val="0073338F"/>
    <w:rsid w:val="0073489F"/>
    <w:rsid w:val="00734C8C"/>
    <w:rsid w:val="00735876"/>
    <w:rsid w:val="00737D98"/>
    <w:rsid w:val="00746257"/>
    <w:rsid w:val="007518BF"/>
    <w:rsid w:val="0075515C"/>
    <w:rsid w:val="00756138"/>
    <w:rsid w:val="00760875"/>
    <w:rsid w:val="007633A2"/>
    <w:rsid w:val="00765940"/>
    <w:rsid w:val="00765B80"/>
    <w:rsid w:val="00771F68"/>
    <w:rsid w:val="0078027A"/>
    <w:rsid w:val="00781BB5"/>
    <w:rsid w:val="00782E30"/>
    <w:rsid w:val="007849EA"/>
    <w:rsid w:val="00784E14"/>
    <w:rsid w:val="00791232"/>
    <w:rsid w:val="00793392"/>
    <w:rsid w:val="007A3807"/>
    <w:rsid w:val="007A4AF8"/>
    <w:rsid w:val="007A52F8"/>
    <w:rsid w:val="007A69C0"/>
    <w:rsid w:val="007B0D1B"/>
    <w:rsid w:val="007B1629"/>
    <w:rsid w:val="007B2A22"/>
    <w:rsid w:val="007B6A2F"/>
    <w:rsid w:val="007C4590"/>
    <w:rsid w:val="007C7921"/>
    <w:rsid w:val="007C79CF"/>
    <w:rsid w:val="007D1B40"/>
    <w:rsid w:val="007D6E4B"/>
    <w:rsid w:val="007D701C"/>
    <w:rsid w:val="007E1CBC"/>
    <w:rsid w:val="007E784C"/>
    <w:rsid w:val="007F1625"/>
    <w:rsid w:val="007F1E15"/>
    <w:rsid w:val="007F5C6F"/>
    <w:rsid w:val="00803A40"/>
    <w:rsid w:val="00805CA4"/>
    <w:rsid w:val="00810C26"/>
    <w:rsid w:val="00815D29"/>
    <w:rsid w:val="008164FA"/>
    <w:rsid w:val="0081798C"/>
    <w:rsid w:val="00825767"/>
    <w:rsid w:val="0082671E"/>
    <w:rsid w:val="00827C09"/>
    <w:rsid w:val="00830EE4"/>
    <w:rsid w:val="0083145D"/>
    <w:rsid w:val="00834DF9"/>
    <w:rsid w:val="00835BC1"/>
    <w:rsid w:val="00841581"/>
    <w:rsid w:val="008428FD"/>
    <w:rsid w:val="00844582"/>
    <w:rsid w:val="00844948"/>
    <w:rsid w:val="00850ED6"/>
    <w:rsid w:val="00851C03"/>
    <w:rsid w:val="00853FB6"/>
    <w:rsid w:val="0086339F"/>
    <w:rsid w:val="0086773B"/>
    <w:rsid w:val="00875684"/>
    <w:rsid w:val="0088522D"/>
    <w:rsid w:val="00890C9B"/>
    <w:rsid w:val="00891FD4"/>
    <w:rsid w:val="00895556"/>
    <w:rsid w:val="0089570C"/>
    <w:rsid w:val="008A0C6E"/>
    <w:rsid w:val="008A300A"/>
    <w:rsid w:val="008A35E2"/>
    <w:rsid w:val="008A5C23"/>
    <w:rsid w:val="008A5FE3"/>
    <w:rsid w:val="008B0CA5"/>
    <w:rsid w:val="008B0D97"/>
    <w:rsid w:val="008B459D"/>
    <w:rsid w:val="008B65FE"/>
    <w:rsid w:val="008C0877"/>
    <w:rsid w:val="008C10BA"/>
    <w:rsid w:val="008C468B"/>
    <w:rsid w:val="008C6660"/>
    <w:rsid w:val="008E2A80"/>
    <w:rsid w:val="008F1D23"/>
    <w:rsid w:val="008F3199"/>
    <w:rsid w:val="008F4F3E"/>
    <w:rsid w:val="008F51ED"/>
    <w:rsid w:val="008F6EFC"/>
    <w:rsid w:val="00900C08"/>
    <w:rsid w:val="00901DF6"/>
    <w:rsid w:val="00907BB8"/>
    <w:rsid w:val="00910BE3"/>
    <w:rsid w:val="00910F2A"/>
    <w:rsid w:val="00912A06"/>
    <w:rsid w:val="00915D9D"/>
    <w:rsid w:val="00916AB5"/>
    <w:rsid w:val="00921A0D"/>
    <w:rsid w:val="00922408"/>
    <w:rsid w:val="0092287B"/>
    <w:rsid w:val="00923E68"/>
    <w:rsid w:val="009240C2"/>
    <w:rsid w:val="00925325"/>
    <w:rsid w:val="00931CCD"/>
    <w:rsid w:val="00931EB0"/>
    <w:rsid w:val="00933CED"/>
    <w:rsid w:val="00933FAA"/>
    <w:rsid w:val="0093420F"/>
    <w:rsid w:val="009365BC"/>
    <w:rsid w:val="00937357"/>
    <w:rsid w:val="00945011"/>
    <w:rsid w:val="009455EC"/>
    <w:rsid w:val="00946FBA"/>
    <w:rsid w:val="00963318"/>
    <w:rsid w:val="00964D78"/>
    <w:rsid w:val="00970E45"/>
    <w:rsid w:val="00972D7B"/>
    <w:rsid w:val="009828EE"/>
    <w:rsid w:val="009873F2"/>
    <w:rsid w:val="0098799E"/>
    <w:rsid w:val="009914CB"/>
    <w:rsid w:val="009A6B84"/>
    <w:rsid w:val="009A756F"/>
    <w:rsid w:val="009B0F38"/>
    <w:rsid w:val="009B72EB"/>
    <w:rsid w:val="009C45C2"/>
    <w:rsid w:val="009C6161"/>
    <w:rsid w:val="009C7B3C"/>
    <w:rsid w:val="009D0D67"/>
    <w:rsid w:val="009D791B"/>
    <w:rsid w:val="009E1EF0"/>
    <w:rsid w:val="009E5F71"/>
    <w:rsid w:val="009F04E0"/>
    <w:rsid w:val="009F0812"/>
    <w:rsid w:val="009F177C"/>
    <w:rsid w:val="009F1BC8"/>
    <w:rsid w:val="009F41FD"/>
    <w:rsid w:val="00A00819"/>
    <w:rsid w:val="00A00E30"/>
    <w:rsid w:val="00A07218"/>
    <w:rsid w:val="00A079FA"/>
    <w:rsid w:val="00A14C38"/>
    <w:rsid w:val="00A14D41"/>
    <w:rsid w:val="00A15167"/>
    <w:rsid w:val="00A230A7"/>
    <w:rsid w:val="00A3551F"/>
    <w:rsid w:val="00A357CA"/>
    <w:rsid w:val="00A368E8"/>
    <w:rsid w:val="00A36B32"/>
    <w:rsid w:val="00A37A6A"/>
    <w:rsid w:val="00A438CE"/>
    <w:rsid w:val="00A44ACA"/>
    <w:rsid w:val="00A44DE7"/>
    <w:rsid w:val="00A46688"/>
    <w:rsid w:val="00A46B39"/>
    <w:rsid w:val="00A51827"/>
    <w:rsid w:val="00A519F4"/>
    <w:rsid w:val="00A53D94"/>
    <w:rsid w:val="00A62C47"/>
    <w:rsid w:val="00A761C5"/>
    <w:rsid w:val="00A81708"/>
    <w:rsid w:val="00A8340D"/>
    <w:rsid w:val="00A90B15"/>
    <w:rsid w:val="00A9269B"/>
    <w:rsid w:val="00A9745D"/>
    <w:rsid w:val="00AA15E8"/>
    <w:rsid w:val="00AA28EF"/>
    <w:rsid w:val="00AA5476"/>
    <w:rsid w:val="00AB12F2"/>
    <w:rsid w:val="00AB187D"/>
    <w:rsid w:val="00AB2E17"/>
    <w:rsid w:val="00AB60B4"/>
    <w:rsid w:val="00AC47B9"/>
    <w:rsid w:val="00AC6040"/>
    <w:rsid w:val="00AD026B"/>
    <w:rsid w:val="00AD0893"/>
    <w:rsid w:val="00AD4680"/>
    <w:rsid w:val="00AD6008"/>
    <w:rsid w:val="00AE10A6"/>
    <w:rsid w:val="00AE55BC"/>
    <w:rsid w:val="00AF06B4"/>
    <w:rsid w:val="00AF6B82"/>
    <w:rsid w:val="00B0202C"/>
    <w:rsid w:val="00B04D86"/>
    <w:rsid w:val="00B14068"/>
    <w:rsid w:val="00B1460A"/>
    <w:rsid w:val="00B179F7"/>
    <w:rsid w:val="00B21754"/>
    <w:rsid w:val="00B23260"/>
    <w:rsid w:val="00B26858"/>
    <w:rsid w:val="00B26940"/>
    <w:rsid w:val="00B30428"/>
    <w:rsid w:val="00B40F43"/>
    <w:rsid w:val="00B41B55"/>
    <w:rsid w:val="00B42FD2"/>
    <w:rsid w:val="00B44A34"/>
    <w:rsid w:val="00B5303C"/>
    <w:rsid w:val="00B5410D"/>
    <w:rsid w:val="00B5504E"/>
    <w:rsid w:val="00B55C8D"/>
    <w:rsid w:val="00B64F3E"/>
    <w:rsid w:val="00B71C76"/>
    <w:rsid w:val="00B764E1"/>
    <w:rsid w:val="00B80131"/>
    <w:rsid w:val="00B83409"/>
    <w:rsid w:val="00B86D57"/>
    <w:rsid w:val="00B92597"/>
    <w:rsid w:val="00B92D45"/>
    <w:rsid w:val="00B938E7"/>
    <w:rsid w:val="00B958A3"/>
    <w:rsid w:val="00BA56EA"/>
    <w:rsid w:val="00BA5743"/>
    <w:rsid w:val="00BB13DD"/>
    <w:rsid w:val="00BB2B41"/>
    <w:rsid w:val="00BB3A28"/>
    <w:rsid w:val="00BB4A1E"/>
    <w:rsid w:val="00BC231B"/>
    <w:rsid w:val="00BC3A89"/>
    <w:rsid w:val="00BD61F4"/>
    <w:rsid w:val="00BD7349"/>
    <w:rsid w:val="00BE7171"/>
    <w:rsid w:val="00BF0A96"/>
    <w:rsid w:val="00BF73E8"/>
    <w:rsid w:val="00BF798F"/>
    <w:rsid w:val="00C03DCA"/>
    <w:rsid w:val="00C16F62"/>
    <w:rsid w:val="00C17AF7"/>
    <w:rsid w:val="00C2031E"/>
    <w:rsid w:val="00C27385"/>
    <w:rsid w:val="00C30D69"/>
    <w:rsid w:val="00C3103C"/>
    <w:rsid w:val="00C4103A"/>
    <w:rsid w:val="00C475BC"/>
    <w:rsid w:val="00C47EFB"/>
    <w:rsid w:val="00C566DF"/>
    <w:rsid w:val="00C56C06"/>
    <w:rsid w:val="00C618A0"/>
    <w:rsid w:val="00C703F1"/>
    <w:rsid w:val="00C72F23"/>
    <w:rsid w:val="00C735D8"/>
    <w:rsid w:val="00C85B9F"/>
    <w:rsid w:val="00C94A28"/>
    <w:rsid w:val="00C973CA"/>
    <w:rsid w:val="00CA15A2"/>
    <w:rsid w:val="00CA1759"/>
    <w:rsid w:val="00CB28EF"/>
    <w:rsid w:val="00CB317A"/>
    <w:rsid w:val="00CB5EC8"/>
    <w:rsid w:val="00CB5F4E"/>
    <w:rsid w:val="00CC0BA5"/>
    <w:rsid w:val="00CC2437"/>
    <w:rsid w:val="00CD4D4B"/>
    <w:rsid w:val="00CE35F7"/>
    <w:rsid w:val="00CE420A"/>
    <w:rsid w:val="00CE5C7C"/>
    <w:rsid w:val="00CE6517"/>
    <w:rsid w:val="00CE7C85"/>
    <w:rsid w:val="00D06476"/>
    <w:rsid w:val="00D067A2"/>
    <w:rsid w:val="00D12FCD"/>
    <w:rsid w:val="00D1605A"/>
    <w:rsid w:val="00D20B69"/>
    <w:rsid w:val="00D25B4D"/>
    <w:rsid w:val="00D27ED5"/>
    <w:rsid w:val="00D31B8F"/>
    <w:rsid w:val="00D32D75"/>
    <w:rsid w:val="00D352DD"/>
    <w:rsid w:val="00D46D17"/>
    <w:rsid w:val="00D46EAA"/>
    <w:rsid w:val="00D474E4"/>
    <w:rsid w:val="00D64927"/>
    <w:rsid w:val="00D6674D"/>
    <w:rsid w:val="00D831CE"/>
    <w:rsid w:val="00D86946"/>
    <w:rsid w:val="00DA3694"/>
    <w:rsid w:val="00DA4DB5"/>
    <w:rsid w:val="00DA5E34"/>
    <w:rsid w:val="00DA7CF1"/>
    <w:rsid w:val="00DA7E93"/>
    <w:rsid w:val="00DB461F"/>
    <w:rsid w:val="00DB56DC"/>
    <w:rsid w:val="00DC1EBE"/>
    <w:rsid w:val="00DC29E0"/>
    <w:rsid w:val="00DC60BD"/>
    <w:rsid w:val="00DD0676"/>
    <w:rsid w:val="00DD419A"/>
    <w:rsid w:val="00DD7C71"/>
    <w:rsid w:val="00DE0E58"/>
    <w:rsid w:val="00DE15A1"/>
    <w:rsid w:val="00DE321E"/>
    <w:rsid w:val="00DE5E73"/>
    <w:rsid w:val="00DF060E"/>
    <w:rsid w:val="00DF5704"/>
    <w:rsid w:val="00DF6B4C"/>
    <w:rsid w:val="00E14CF5"/>
    <w:rsid w:val="00E1755F"/>
    <w:rsid w:val="00E21271"/>
    <w:rsid w:val="00E22665"/>
    <w:rsid w:val="00E23AA0"/>
    <w:rsid w:val="00E24C7B"/>
    <w:rsid w:val="00E25124"/>
    <w:rsid w:val="00E25605"/>
    <w:rsid w:val="00E25974"/>
    <w:rsid w:val="00E25A2D"/>
    <w:rsid w:val="00E27092"/>
    <w:rsid w:val="00E312FD"/>
    <w:rsid w:val="00E344F1"/>
    <w:rsid w:val="00E35950"/>
    <w:rsid w:val="00E401DA"/>
    <w:rsid w:val="00E46173"/>
    <w:rsid w:val="00E47571"/>
    <w:rsid w:val="00E50A82"/>
    <w:rsid w:val="00E520AA"/>
    <w:rsid w:val="00E535E9"/>
    <w:rsid w:val="00E553A3"/>
    <w:rsid w:val="00E6179F"/>
    <w:rsid w:val="00E67816"/>
    <w:rsid w:val="00E73F10"/>
    <w:rsid w:val="00E756BB"/>
    <w:rsid w:val="00E84265"/>
    <w:rsid w:val="00E877CE"/>
    <w:rsid w:val="00E95AAC"/>
    <w:rsid w:val="00EA0893"/>
    <w:rsid w:val="00EA43B3"/>
    <w:rsid w:val="00EA5A9F"/>
    <w:rsid w:val="00EA69C4"/>
    <w:rsid w:val="00EB60AC"/>
    <w:rsid w:val="00EC1C97"/>
    <w:rsid w:val="00EC4D4C"/>
    <w:rsid w:val="00EC7583"/>
    <w:rsid w:val="00ED0C8F"/>
    <w:rsid w:val="00ED5554"/>
    <w:rsid w:val="00ED6E0F"/>
    <w:rsid w:val="00ED7467"/>
    <w:rsid w:val="00EE078E"/>
    <w:rsid w:val="00EE3039"/>
    <w:rsid w:val="00EE4D23"/>
    <w:rsid w:val="00EE6AC4"/>
    <w:rsid w:val="00EE7C4D"/>
    <w:rsid w:val="00EF2618"/>
    <w:rsid w:val="00EF4EE1"/>
    <w:rsid w:val="00EF6949"/>
    <w:rsid w:val="00F02309"/>
    <w:rsid w:val="00F033FE"/>
    <w:rsid w:val="00F04453"/>
    <w:rsid w:val="00F075A9"/>
    <w:rsid w:val="00F117BD"/>
    <w:rsid w:val="00F11C61"/>
    <w:rsid w:val="00F1322F"/>
    <w:rsid w:val="00F15D9C"/>
    <w:rsid w:val="00F171E0"/>
    <w:rsid w:val="00F20A34"/>
    <w:rsid w:val="00F21056"/>
    <w:rsid w:val="00F217E3"/>
    <w:rsid w:val="00F340FC"/>
    <w:rsid w:val="00F35DBF"/>
    <w:rsid w:val="00F3649F"/>
    <w:rsid w:val="00F46008"/>
    <w:rsid w:val="00F479AC"/>
    <w:rsid w:val="00F5233C"/>
    <w:rsid w:val="00F53D9D"/>
    <w:rsid w:val="00F5708C"/>
    <w:rsid w:val="00F63AF2"/>
    <w:rsid w:val="00F70AB1"/>
    <w:rsid w:val="00F71850"/>
    <w:rsid w:val="00F72409"/>
    <w:rsid w:val="00F73D9D"/>
    <w:rsid w:val="00F83117"/>
    <w:rsid w:val="00F837ED"/>
    <w:rsid w:val="00F840B0"/>
    <w:rsid w:val="00F85B31"/>
    <w:rsid w:val="00F937F1"/>
    <w:rsid w:val="00F95662"/>
    <w:rsid w:val="00F9728D"/>
    <w:rsid w:val="00F97299"/>
    <w:rsid w:val="00FA3862"/>
    <w:rsid w:val="00FA495B"/>
    <w:rsid w:val="00FA542F"/>
    <w:rsid w:val="00FA552E"/>
    <w:rsid w:val="00FB0AF3"/>
    <w:rsid w:val="00FB2307"/>
    <w:rsid w:val="00FB5BD2"/>
    <w:rsid w:val="00FB76A3"/>
    <w:rsid w:val="00FC0492"/>
    <w:rsid w:val="00FC360A"/>
    <w:rsid w:val="00FC39A9"/>
    <w:rsid w:val="00FC67A5"/>
    <w:rsid w:val="00FC6829"/>
    <w:rsid w:val="00FC7286"/>
    <w:rsid w:val="00FC7A47"/>
    <w:rsid w:val="00FD1BF9"/>
    <w:rsid w:val="00FD2A4B"/>
    <w:rsid w:val="00FD4FE7"/>
    <w:rsid w:val="00FE0E4F"/>
    <w:rsid w:val="00FE144C"/>
    <w:rsid w:val="00FE2FD3"/>
    <w:rsid w:val="00FE6BC4"/>
    <w:rsid w:val="00FF082F"/>
    <w:rsid w:val="00FF55F8"/>
    <w:rsid w:val="00FF5715"/>
    <w:rsid w:val="00FF6162"/>
    <w:rsid w:val="00FF76D3"/>
    <w:rsid w:val="00FF7B74"/>
    <w:rsid w:val="052E0FEC"/>
    <w:rsid w:val="0715FEE1"/>
    <w:rsid w:val="07C66C64"/>
    <w:rsid w:val="080A83C5"/>
    <w:rsid w:val="08BE8F8F"/>
    <w:rsid w:val="09BA35B5"/>
    <w:rsid w:val="0A018C5D"/>
    <w:rsid w:val="0A193FAC"/>
    <w:rsid w:val="109C3E32"/>
    <w:rsid w:val="12EA6756"/>
    <w:rsid w:val="1AA15151"/>
    <w:rsid w:val="231995E1"/>
    <w:rsid w:val="23746C4A"/>
    <w:rsid w:val="25D0513B"/>
    <w:rsid w:val="281C4115"/>
    <w:rsid w:val="2A4D8A63"/>
    <w:rsid w:val="2E130D64"/>
    <w:rsid w:val="3060CB0E"/>
    <w:rsid w:val="337FD096"/>
    <w:rsid w:val="34FE70AE"/>
    <w:rsid w:val="362918A3"/>
    <w:rsid w:val="36D5ADF7"/>
    <w:rsid w:val="3ADE31AE"/>
    <w:rsid w:val="3DF761A3"/>
    <w:rsid w:val="3EBC358F"/>
    <w:rsid w:val="42F7B9BE"/>
    <w:rsid w:val="457F2622"/>
    <w:rsid w:val="45BFE2C8"/>
    <w:rsid w:val="4C36410F"/>
    <w:rsid w:val="4FE392F5"/>
    <w:rsid w:val="512B2746"/>
    <w:rsid w:val="513847CE"/>
    <w:rsid w:val="51593D5A"/>
    <w:rsid w:val="5429797E"/>
    <w:rsid w:val="5537793E"/>
    <w:rsid w:val="57A49907"/>
    <w:rsid w:val="5C862F23"/>
    <w:rsid w:val="5E73B086"/>
    <w:rsid w:val="63374C92"/>
    <w:rsid w:val="637A5B4B"/>
    <w:rsid w:val="63CD67F3"/>
    <w:rsid w:val="64DE0C7F"/>
    <w:rsid w:val="659E52E9"/>
    <w:rsid w:val="6C263CED"/>
    <w:rsid w:val="6DCE79E4"/>
    <w:rsid w:val="6E437005"/>
    <w:rsid w:val="6EF2F453"/>
    <w:rsid w:val="6F142486"/>
    <w:rsid w:val="70D46E67"/>
    <w:rsid w:val="714DE743"/>
    <w:rsid w:val="75520E3C"/>
    <w:rsid w:val="77048DA2"/>
    <w:rsid w:val="786403EA"/>
    <w:rsid w:val="818B45FE"/>
    <w:rsid w:val="83241F8A"/>
    <w:rsid w:val="870BA12F"/>
    <w:rsid w:val="8897F5FD"/>
    <w:rsid w:val="8A7BDBC2"/>
    <w:rsid w:val="8CEB6ADA"/>
    <w:rsid w:val="909B6FF9"/>
    <w:rsid w:val="913CBF96"/>
    <w:rsid w:val="96BEDE9A"/>
    <w:rsid w:val="98B881D4"/>
    <w:rsid w:val="98D8205A"/>
    <w:rsid w:val="99C0A456"/>
    <w:rsid w:val="9D3D7790"/>
    <w:rsid w:val="9DA7F9E1"/>
    <w:rsid w:val="9EF6294D"/>
    <w:rsid w:val="A53CF423"/>
    <w:rsid w:val="A6C520ED"/>
    <w:rsid w:val="A98E23E4"/>
    <w:rsid w:val="AF46BC1E"/>
    <w:rsid w:val="AF52451A"/>
    <w:rsid w:val="B02815AC"/>
    <w:rsid w:val="C8026929"/>
    <w:rsid w:val="CF190428"/>
    <w:rsid w:val="D04C3400"/>
    <w:rsid w:val="D64C7A89"/>
    <w:rsid w:val="D9DAE0DF"/>
    <w:rsid w:val="DB6A2B4C"/>
    <w:rsid w:val="DC687C53"/>
    <w:rsid w:val="E1C61B80"/>
    <w:rsid w:val="E49F9025"/>
    <w:rsid w:val="EC6F13C8"/>
    <w:rsid w:val="EE3E04F3"/>
    <w:rsid w:val="EF4E15B2"/>
    <w:rsid w:val="F119A9F8"/>
    <w:rsid w:val="F1AEAFC7"/>
    <w:rsid w:val="F3B38651"/>
    <w:rsid w:val="F4DEF69C"/>
    <w:rsid w:val="FBB88B25"/>
    <w:rsid w:val="FCE00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uiPriority w:val="0"/>
    <w:pPr>
      <w:jc w:val="left"/>
    </w:pPr>
  </w:style>
  <w:style w:type="paragraph" w:styleId="3">
    <w:name w:val="Date"/>
    <w:basedOn w:val="1"/>
    <w:next w:val="1"/>
    <w:qFormat/>
    <w:uiPriority w:val="0"/>
    <w:pPr>
      <w:ind w:left="100" w:leftChars="2500"/>
    </w:pPr>
  </w:style>
  <w:style w:type="paragraph" w:styleId="4">
    <w:name w:val="Balloon Text"/>
    <w:basedOn w:val="1"/>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1"/>
    <w:semiHidden/>
    <w:unhideWhenUsed/>
    <w:uiPriority w:val="0"/>
    <w:rPr>
      <w:b/>
      <w:bCs/>
    </w:rPr>
  </w:style>
  <w:style w:type="character" w:styleId="10">
    <w:name w:val="Hyperlink"/>
    <w:qFormat/>
    <w:uiPriority w:val="0"/>
    <w:rPr>
      <w:rFonts w:ascii="Times New Roman" w:hAnsi="Times New Roman" w:eastAsia="宋体" w:cs="Times New Roman"/>
      <w:color w:val="0000FF"/>
      <w:u w:val="single"/>
    </w:rPr>
  </w:style>
  <w:style w:type="character" w:styleId="11">
    <w:name w:val="annotation reference"/>
    <w:basedOn w:val="9"/>
    <w:semiHidden/>
    <w:unhideWhenUsed/>
    <w:uiPriority w:val="0"/>
    <w:rPr>
      <w:sz w:val="21"/>
      <w:szCs w:val="21"/>
    </w:rPr>
  </w:style>
  <w:style w:type="character" w:customStyle="1" w:styleId="12">
    <w:name w:val="页眉 字符"/>
    <w:link w:val="6"/>
    <w:qFormat/>
    <w:uiPriority w:val="0"/>
    <w:rPr>
      <w:rFonts w:ascii="Times New Roman" w:hAnsi="Times New Roman" w:eastAsia="宋体" w:cs="Times New Roman"/>
      <w:kern w:val="2"/>
      <w:sz w:val="18"/>
      <w:szCs w:val="18"/>
    </w:rPr>
  </w:style>
  <w:style w:type="character" w:customStyle="1" w:styleId="13">
    <w:name w:val="页脚 字符"/>
    <w:link w:val="5"/>
    <w:qFormat/>
    <w:uiPriority w:val="0"/>
    <w:rPr>
      <w:rFonts w:ascii="Times New Roman" w:hAnsi="Times New Roman" w:eastAsia="宋体" w:cs="Times New Roman"/>
      <w:kern w:val="2"/>
      <w:sz w:val="18"/>
      <w:szCs w:val="18"/>
    </w:rPr>
  </w:style>
  <w:style w:type="paragraph" w:customStyle="1" w:styleId="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5">
    <w:name w:val="Char"/>
    <w:basedOn w:val="1"/>
    <w:qFormat/>
    <w:uiPriority w:val="0"/>
    <w:rPr>
      <w:rFonts w:ascii="宋体" w:hAnsi="宋体" w:cs="Courier New"/>
      <w:sz w:val="32"/>
      <w:szCs w:val="32"/>
    </w:rPr>
  </w:style>
  <w:style w:type="paragraph" w:customStyle="1" w:styleId="16">
    <w:name w:val="reader-word-layer reader-word-s2-5"/>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Char11"/>
    <w:basedOn w:val="1"/>
    <w:qFormat/>
    <w:uiPriority w:val="0"/>
  </w:style>
  <w:style w:type="paragraph" w:customStyle="1" w:styleId="18">
    <w:name w:val="Char1"/>
    <w:basedOn w:val="1"/>
    <w:qFormat/>
    <w:uiPriority w:val="0"/>
    <w:rPr>
      <w:rFonts w:ascii="宋体" w:hAnsi="宋体" w:eastAsia="仿宋_GB2312" w:cs="Courier New"/>
      <w:sz w:val="32"/>
      <w:szCs w:val="32"/>
    </w:rPr>
  </w:style>
  <w:style w:type="paragraph" w:customStyle="1" w:styleId="19">
    <w:name w:val="Revision"/>
    <w:hidden/>
    <w:semiHidden/>
    <w:uiPriority w:val="99"/>
    <w:rPr>
      <w:rFonts w:ascii="Times New Roman" w:hAnsi="Times New Roman" w:eastAsia="宋体" w:cs="Times New Roman"/>
      <w:kern w:val="2"/>
      <w:sz w:val="21"/>
      <w:szCs w:val="24"/>
      <w:lang w:val="en-US" w:eastAsia="zh-CN" w:bidi="ar-SA"/>
    </w:rPr>
  </w:style>
  <w:style w:type="character" w:customStyle="1" w:styleId="20">
    <w:name w:val="批注文字 字符"/>
    <w:basedOn w:val="9"/>
    <w:link w:val="2"/>
    <w:uiPriority w:val="0"/>
    <w:rPr>
      <w:kern w:val="2"/>
      <w:sz w:val="21"/>
      <w:szCs w:val="24"/>
    </w:rPr>
  </w:style>
  <w:style w:type="character" w:customStyle="1" w:styleId="21">
    <w:name w:val="批注主题 字符"/>
    <w:basedOn w:val="20"/>
    <w:link w:val="7"/>
    <w:semiHidden/>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C874B-3B3A-42C3-B6FE-E4EC8CF865DD}">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3283</Words>
  <Characters>3416</Characters>
  <Lines>31</Lines>
  <Paragraphs>8</Paragraphs>
  <TotalTime>7</TotalTime>
  <ScaleCrop>false</ScaleCrop>
  <LinksUpToDate>false</LinksUpToDate>
  <CharactersWithSpaces>4316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2025-02-26T02:00:00Z</dcterms:created>
  <dc:creator>USER</dc:creator>
  <cp:lastModifiedBy>李惠</cp:lastModifiedBy>
  <cp:lastPrinted>2025-02-25T06:23:00Z</cp:lastPrinted>
  <dcterms:modified xsi:type="dcterms:W3CDTF">2025-09-25T09:02:02Z</dcterms:modified>
  <dc:title>化工学院研究生国家奖学金评审细则（征求意见稿）</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3FBF95AE972C42F09B2DD4AEEDDB81C1</vt:lpwstr>
  </property>
  <property fmtid="{D5CDD505-2E9C-101B-9397-08002B2CF9AE}" pid="4" name="KSOTemplateDocerSaveRecord">
    <vt:lpwstr>eyJoZGlkIjoiZmUyYzgzOTAxZjA3ZWI5NGM5OWU0ZjNiNjYxNGFlYzgiLCJ1c2VySWQiOiIyMjgwODcwNzIifQ==</vt:lpwstr>
  </property>
</Properties>
</file>